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C74" w:rsidRPr="0061375A" w:rsidRDefault="000775F2" w:rsidP="0061375A">
      <w:pPr>
        <w:pStyle w:val="Nadpis1"/>
      </w:pPr>
      <w:bookmarkStart w:id="0" w:name="_Toc46302058"/>
      <w:bookmarkStart w:id="1" w:name="_GoBack"/>
      <w:bookmarkEnd w:id="1"/>
      <w:r w:rsidRPr="0061375A">
        <w:t>PODPORA CESTOVNÍHO RUCHU PROSTŘEDNICTVÍM MÉDIÍ</w:t>
      </w:r>
      <w:bookmarkEnd w:id="0"/>
    </w:p>
    <w:sdt>
      <w:sdtPr>
        <w:rPr>
          <w:rFonts w:asciiTheme="minorHAnsi" w:eastAsiaTheme="minorHAnsi" w:hAnsiTheme="minorHAnsi" w:cstheme="minorBidi"/>
          <w:color w:val="auto"/>
          <w:sz w:val="22"/>
          <w:szCs w:val="22"/>
          <w:lang w:eastAsia="en-US"/>
        </w:rPr>
        <w:id w:val="1805811640"/>
        <w:docPartObj>
          <w:docPartGallery w:val="Table of Contents"/>
          <w:docPartUnique/>
        </w:docPartObj>
      </w:sdtPr>
      <w:sdtEndPr>
        <w:rPr>
          <w:rFonts w:ascii="Arial" w:hAnsi="Arial" w:cs="Arial"/>
          <w:b/>
          <w:bCs/>
          <w:sz w:val="20"/>
          <w:szCs w:val="20"/>
        </w:rPr>
      </w:sdtEndPr>
      <w:sdtContent>
        <w:p w:rsidR="0061375A" w:rsidRDefault="0061375A">
          <w:pPr>
            <w:pStyle w:val="Nadpisobsahu"/>
          </w:pPr>
          <w:r>
            <w:t>Obsah</w:t>
          </w:r>
        </w:p>
        <w:p w:rsidR="00796E9B" w:rsidRPr="005D712B" w:rsidRDefault="0061375A">
          <w:pPr>
            <w:pStyle w:val="Obsah1"/>
            <w:tabs>
              <w:tab w:val="right" w:leader="dot" w:pos="9062"/>
            </w:tabs>
            <w:rPr>
              <w:rFonts w:ascii="Arial" w:eastAsiaTheme="minorEastAsia" w:hAnsi="Arial" w:cs="Arial"/>
              <w:noProof/>
              <w:sz w:val="20"/>
              <w:szCs w:val="20"/>
              <w:lang w:eastAsia="cs-CZ"/>
            </w:rPr>
          </w:pPr>
          <w:r w:rsidRPr="005D712B">
            <w:rPr>
              <w:rFonts w:ascii="Arial" w:hAnsi="Arial" w:cs="Arial"/>
              <w:sz w:val="20"/>
              <w:szCs w:val="20"/>
            </w:rPr>
            <w:fldChar w:fldCharType="begin"/>
          </w:r>
          <w:r w:rsidRPr="005D712B">
            <w:rPr>
              <w:rFonts w:ascii="Arial" w:hAnsi="Arial" w:cs="Arial"/>
              <w:sz w:val="20"/>
              <w:szCs w:val="20"/>
            </w:rPr>
            <w:instrText xml:space="preserve"> TOC \o "1-3" \h \z \u </w:instrText>
          </w:r>
          <w:r w:rsidRPr="005D712B">
            <w:rPr>
              <w:rFonts w:ascii="Arial" w:hAnsi="Arial" w:cs="Arial"/>
              <w:sz w:val="20"/>
              <w:szCs w:val="20"/>
            </w:rPr>
            <w:fldChar w:fldCharType="separate"/>
          </w:r>
          <w:hyperlink w:anchor="_Toc46302058" w:history="1">
            <w:r w:rsidR="00796E9B" w:rsidRPr="005D712B">
              <w:rPr>
                <w:rStyle w:val="Hypertextovodkaz"/>
                <w:rFonts w:ascii="Arial" w:hAnsi="Arial" w:cs="Arial"/>
                <w:noProof/>
                <w:sz w:val="20"/>
                <w:szCs w:val="20"/>
              </w:rPr>
              <w:t>PODPORA CESTOVNÍHO RUCHU PROSTŘEDNICTVÍM MÉDIÍ</w:t>
            </w:r>
            <w:r w:rsidR="00796E9B" w:rsidRPr="005D712B">
              <w:rPr>
                <w:rFonts w:ascii="Arial" w:hAnsi="Arial" w:cs="Arial"/>
                <w:noProof/>
                <w:webHidden/>
                <w:sz w:val="20"/>
                <w:szCs w:val="20"/>
              </w:rPr>
              <w:tab/>
            </w:r>
            <w:r w:rsidR="00796E9B" w:rsidRPr="005D712B">
              <w:rPr>
                <w:rFonts w:ascii="Arial" w:hAnsi="Arial" w:cs="Arial"/>
                <w:noProof/>
                <w:webHidden/>
                <w:sz w:val="20"/>
                <w:szCs w:val="20"/>
              </w:rPr>
              <w:fldChar w:fldCharType="begin"/>
            </w:r>
            <w:r w:rsidR="00796E9B" w:rsidRPr="005D712B">
              <w:rPr>
                <w:rFonts w:ascii="Arial" w:hAnsi="Arial" w:cs="Arial"/>
                <w:noProof/>
                <w:webHidden/>
                <w:sz w:val="20"/>
                <w:szCs w:val="20"/>
              </w:rPr>
              <w:instrText xml:space="preserve"> PAGEREF _Toc46302058 \h </w:instrText>
            </w:r>
            <w:r w:rsidR="00796E9B" w:rsidRPr="005D712B">
              <w:rPr>
                <w:rFonts w:ascii="Arial" w:hAnsi="Arial" w:cs="Arial"/>
                <w:noProof/>
                <w:webHidden/>
                <w:sz w:val="20"/>
                <w:szCs w:val="20"/>
              </w:rPr>
            </w:r>
            <w:r w:rsidR="00796E9B" w:rsidRPr="005D712B">
              <w:rPr>
                <w:rFonts w:ascii="Arial" w:hAnsi="Arial" w:cs="Arial"/>
                <w:noProof/>
                <w:webHidden/>
                <w:sz w:val="20"/>
                <w:szCs w:val="20"/>
              </w:rPr>
              <w:fldChar w:fldCharType="separate"/>
            </w:r>
            <w:r w:rsidR="005D712B" w:rsidRPr="005D712B">
              <w:rPr>
                <w:rFonts w:ascii="Arial" w:hAnsi="Arial" w:cs="Arial"/>
                <w:noProof/>
                <w:webHidden/>
                <w:sz w:val="20"/>
                <w:szCs w:val="20"/>
              </w:rPr>
              <w:t>1</w:t>
            </w:r>
            <w:r w:rsidR="00796E9B" w:rsidRPr="005D712B">
              <w:rPr>
                <w:rFonts w:ascii="Arial" w:hAnsi="Arial" w:cs="Arial"/>
                <w:noProof/>
                <w:webHidden/>
                <w:sz w:val="20"/>
                <w:szCs w:val="20"/>
              </w:rPr>
              <w:fldChar w:fldCharType="end"/>
            </w:r>
          </w:hyperlink>
        </w:p>
        <w:p w:rsidR="00796E9B" w:rsidRPr="005D712B" w:rsidRDefault="00E668AA">
          <w:pPr>
            <w:pStyle w:val="Obsah2"/>
            <w:tabs>
              <w:tab w:val="left" w:pos="660"/>
              <w:tab w:val="right" w:leader="dot" w:pos="9062"/>
            </w:tabs>
            <w:rPr>
              <w:rFonts w:ascii="Arial" w:eastAsiaTheme="minorEastAsia" w:hAnsi="Arial" w:cs="Arial"/>
              <w:noProof/>
              <w:sz w:val="20"/>
              <w:szCs w:val="20"/>
              <w:lang w:eastAsia="cs-CZ"/>
            </w:rPr>
          </w:pPr>
          <w:hyperlink w:anchor="_Toc46302059" w:history="1">
            <w:r w:rsidR="00796E9B" w:rsidRPr="005D712B">
              <w:rPr>
                <w:rStyle w:val="Hypertextovodkaz"/>
                <w:rFonts w:ascii="Arial" w:hAnsi="Arial" w:cs="Arial"/>
                <w:noProof/>
                <w:sz w:val="20"/>
                <w:szCs w:val="20"/>
              </w:rPr>
              <w:t>1.</w:t>
            </w:r>
            <w:r w:rsidR="00796E9B" w:rsidRPr="005D712B">
              <w:rPr>
                <w:rFonts w:ascii="Arial" w:eastAsiaTheme="minorEastAsia" w:hAnsi="Arial" w:cs="Arial"/>
                <w:noProof/>
                <w:sz w:val="20"/>
                <w:szCs w:val="20"/>
                <w:lang w:eastAsia="cs-CZ"/>
              </w:rPr>
              <w:tab/>
            </w:r>
            <w:r w:rsidR="00796E9B" w:rsidRPr="005D712B">
              <w:rPr>
                <w:rStyle w:val="Hypertextovodkaz"/>
                <w:rFonts w:ascii="Arial" w:hAnsi="Arial" w:cs="Arial"/>
                <w:noProof/>
                <w:sz w:val="20"/>
                <w:szCs w:val="20"/>
              </w:rPr>
              <w:t>Úvod</w:t>
            </w:r>
            <w:r w:rsidR="00796E9B" w:rsidRPr="005D712B">
              <w:rPr>
                <w:rFonts w:ascii="Arial" w:hAnsi="Arial" w:cs="Arial"/>
                <w:noProof/>
                <w:webHidden/>
                <w:sz w:val="20"/>
                <w:szCs w:val="20"/>
              </w:rPr>
              <w:tab/>
            </w:r>
            <w:r w:rsidR="00796E9B" w:rsidRPr="005D712B">
              <w:rPr>
                <w:rFonts w:ascii="Arial" w:hAnsi="Arial" w:cs="Arial"/>
                <w:noProof/>
                <w:webHidden/>
                <w:sz w:val="20"/>
                <w:szCs w:val="20"/>
              </w:rPr>
              <w:fldChar w:fldCharType="begin"/>
            </w:r>
            <w:r w:rsidR="00796E9B" w:rsidRPr="005D712B">
              <w:rPr>
                <w:rFonts w:ascii="Arial" w:hAnsi="Arial" w:cs="Arial"/>
                <w:noProof/>
                <w:webHidden/>
                <w:sz w:val="20"/>
                <w:szCs w:val="20"/>
              </w:rPr>
              <w:instrText xml:space="preserve"> PAGEREF _Toc46302059 \h </w:instrText>
            </w:r>
            <w:r w:rsidR="00796E9B" w:rsidRPr="005D712B">
              <w:rPr>
                <w:rFonts w:ascii="Arial" w:hAnsi="Arial" w:cs="Arial"/>
                <w:noProof/>
                <w:webHidden/>
                <w:sz w:val="20"/>
                <w:szCs w:val="20"/>
              </w:rPr>
            </w:r>
            <w:r w:rsidR="00796E9B" w:rsidRPr="005D712B">
              <w:rPr>
                <w:rFonts w:ascii="Arial" w:hAnsi="Arial" w:cs="Arial"/>
                <w:noProof/>
                <w:webHidden/>
                <w:sz w:val="20"/>
                <w:szCs w:val="20"/>
              </w:rPr>
              <w:fldChar w:fldCharType="separate"/>
            </w:r>
            <w:r w:rsidR="005D712B" w:rsidRPr="005D712B">
              <w:rPr>
                <w:rFonts w:ascii="Arial" w:hAnsi="Arial" w:cs="Arial"/>
                <w:noProof/>
                <w:webHidden/>
                <w:sz w:val="20"/>
                <w:szCs w:val="20"/>
              </w:rPr>
              <w:t>1</w:t>
            </w:r>
            <w:r w:rsidR="00796E9B" w:rsidRPr="005D712B">
              <w:rPr>
                <w:rFonts w:ascii="Arial" w:hAnsi="Arial" w:cs="Arial"/>
                <w:noProof/>
                <w:webHidden/>
                <w:sz w:val="20"/>
                <w:szCs w:val="20"/>
              </w:rPr>
              <w:fldChar w:fldCharType="end"/>
            </w:r>
          </w:hyperlink>
        </w:p>
        <w:p w:rsidR="00796E9B" w:rsidRPr="005D712B" w:rsidRDefault="00E668AA">
          <w:pPr>
            <w:pStyle w:val="Obsah2"/>
            <w:tabs>
              <w:tab w:val="left" w:pos="660"/>
              <w:tab w:val="right" w:leader="dot" w:pos="9062"/>
            </w:tabs>
            <w:rPr>
              <w:rFonts w:ascii="Arial" w:eastAsiaTheme="minorEastAsia" w:hAnsi="Arial" w:cs="Arial"/>
              <w:noProof/>
              <w:sz w:val="20"/>
              <w:szCs w:val="20"/>
              <w:lang w:eastAsia="cs-CZ"/>
            </w:rPr>
          </w:pPr>
          <w:hyperlink w:anchor="_Toc46302060" w:history="1">
            <w:r w:rsidR="00796E9B" w:rsidRPr="005D712B">
              <w:rPr>
                <w:rStyle w:val="Hypertextovodkaz"/>
                <w:rFonts w:ascii="Arial" w:hAnsi="Arial" w:cs="Arial"/>
                <w:noProof/>
                <w:sz w:val="20"/>
                <w:szCs w:val="20"/>
              </w:rPr>
              <w:t>2.</w:t>
            </w:r>
            <w:r w:rsidR="00796E9B" w:rsidRPr="005D712B">
              <w:rPr>
                <w:rFonts w:ascii="Arial" w:eastAsiaTheme="minorEastAsia" w:hAnsi="Arial" w:cs="Arial"/>
                <w:noProof/>
                <w:sz w:val="20"/>
                <w:szCs w:val="20"/>
                <w:lang w:eastAsia="cs-CZ"/>
              </w:rPr>
              <w:tab/>
            </w:r>
            <w:r w:rsidR="00796E9B" w:rsidRPr="005D712B">
              <w:rPr>
                <w:rStyle w:val="Hypertextovodkaz"/>
                <w:rFonts w:ascii="Arial" w:hAnsi="Arial" w:cs="Arial"/>
                <w:noProof/>
                <w:sz w:val="20"/>
                <w:szCs w:val="20"/>
              </w:rPr>
              <w:t>Nastavení rámcových podmínek přímé podpory cestovního ruchu prostřednictvím médií</w:t>
            </w:r>
            <w:r w:rsidR="00796E9B" w:rsidRPr="005D712B">
              <w:rPr>
                <w:rFonts w:ascii="Arial" w:hAnsi="Arial" w:cs="Arial"/>
                <w:noProof/>
                <w:webHidden/>
                <w:sz w:val="20"/>
                <w:szCs w:val="20"/>
              </w:rPr>
              <w:tab/>
            </w:r>
            <w:r w:rsidR="00796E9B" w:rsidRPr="005D712B">
              <w:rPr>
                <w:rFonts w:ascii="Arial" w:hAnsi="Arial" w:cs="Arial"/>
                <w:noProof/>
                <w:webHidden/>
                <w:sz w:val="20"/>
                <w:szCs w:val="20"/>
              </w:rPr>
              <w:fldChar w:fldCharType="begin"/>
            </w:r>
            <w:r w:rsidR="00796E9B" w:rsidRPr="005D712B">
              <w:rPr>
                <w:rFonts w:ascii="Arial" w:hAnsi="Arial" w:cs="Arial"/>
                <w:noProof/>
                <w:webHidden/>
                <w:sz w:val="20"/>
                <w:szCs w:val="20"/>
              </w:rPr>
              <w:instrText xml:space="preserve"> PAGEREF _Toc46302060 \h </w:instrText>
            </w:r>
            <w:r w:rsidR="00796E9B" w:rsidRPr="005D712B">
              <w:rPr>
                <w:rFonts w:ascii="Arial" w:hAnsi="Arial" w:cs="Arial"/>
                <w:noProof/>
                <w:webHidden/>
                <w:sz w:val="20"/>
                <w:szCs w:val="20"/>
              </w:rPr>
            </w:r>
            <w:r w:rsidR="00796E9B" w:rsidRPr="005D712B">
              <w:rPr>
                <w:rFonts w:ascii="Arial" w:hAnsi="Arial" w:cs="Arial"/>
                <w:noProof/>
                <w:webHidden/>
                <w:sz w:val="20"/>
                <w:szCs w:val="20"/>
              </w:rPr>
              <w:fldChar w:fldCharType="separate"/>
            </w:r>
            <w:r w:rsidR="005D712B" w:rsidRPr="005D712B">
              <w:rPr>
                <w:rFonts w:ascii="Arial" w:hAnsi="Arial" w:cs="Arial"/>
                <w:noProof/>
                <w:webHidden/>
                <w:sz w:val="20"/>
                <w:szCs w:val="20"/>
              </w:rPr>
              <w:t>4</w:t>
            </w:r>
            <w:r w:rsidR="00796E9B" w:rsidRPr="005D712B">
              <w:rPr>
                <w:rFonts w:ascii="Arial" w:hAnsi="Arial" w:cs="Arial"/>
                <w:noProof/>
                <w:webHidden/>
                <w:sz w:val="20"/>
                <w:szCs w:val="20"/>
              </w:rPr>
              <w:fldChar w:fldCharType="end"/>
            </w:r>
          </w:hyperlink>
        </w:p>
        <w:p w:rsidR="00796E9B" w:rsidRPr="005D712B" w:rsidRDefault="00E668AA">
          <w:pPr>
            <w:pStyle w:val="Obsah3"/>
            <w:tabs>
              <w:tab w:val="right" w:leader="dot" w:pos="9062"/>
            </w:tabs>
            <w:rPr>
              <w:rFonts w:ascii="Arial" w:eastAsiaTheme="minorEastAsia" w:hAnsi="Arial" w:cs="Arial"/>
              <w:noProof/>
              <w:sz w:val="20"/>
              <w:szCs w:val="20"/>
              <w:lang w:eastAsia="cs-CZ"/>
            </w:rPr>
          </w:pPr>
          <w:hyperlink w:anchor="_Toc46302061" w:history="1">
            <w:r w:rsidR="00796E9B" w:rsidRPr="005D712B">
              <w:rPr>
                <w:rStyle w:val="Hypertextovodkaz"/>
                <w:rFonts w:ascii="Arial" w:hAnsi="Arial" w:cs="Arial"/>
                <w:noProof/>
                <w:sz w:val="20"/>
                <w:szCs w:val="20"/>
              </w:rPr>
              <w:t>Podpora cestovního ruchu přímým zacílením na kampaň v médiích s celostátním dopadem.</w:t>
            </w:r>
            <w:r w:rsidR="00796E9B" w:rsidRPr="005D712B">
              <w:rPr>
                <w:rFonts w:ascii="Arial" w:hAnsi="Arial" w:cs="Arial"/>
                <w:noProof/>
                <w:webHidden/>
                <w:sz w:val="20"/>
                <w:szCs w:val="20"/>
              </w:rPr>
              <w:tab/>
            </w:r>
            <w:r w:rsidR="00796E9B" w:rsidRPr="005D712B">
              <w:rPr>
                <w:rFonts w:ascii="Arial" w:hAnsi="Arial" w:cs="Arial"/>
                <w:noProof/>
                <w:webHidden/>
                <w:sz w:val="20"/>
                <w:szCs w:val="20"/>
              </w:rPr>
              <w:fldChar w:fldCharType="begin"/>
            </w:r>
            <w:r w:rsidR="00796E9B" w:rsidRPr="005D712B">
              <w:rPr>
                <w:rFonts w:ascii="Arial" w:hAnsi="Arial" w:cs="Arial"/>
                <w:noProof/>
                <w:webHidden/>
                <w:sz w:val="20"/>
                <w:szCs w:val="20"/>
              </w:rPr>
              <w:instrText xml:space="preserve"> PAGEREF _Toc46302061 \h </w:instrText>
            </w:r>
            <w:r w:rsidR="00796E9B" w:rsidRPr="005D712B">
              <w:rPr>
                <w:rFonts w:ascii="Arial" w:hAnsi="Arial" w:cs="Arial"/>
                <w:noProof/>
                <w:webHidden/>
                <w:sz w:val="20"/>
                <w:szCs w:val="20"/>
              </w:rPr>
            </w:r>
            <w:r w:rsidR="00796E9B" w:rsidRPr="005D712B">
              <w:rPr>
                <w:rFonts w:ascii="Arial" w:hAnsi="Arial" w:cs="Arial"/>
                <w:noProof/>
                <w:webHidden/>
                <w:sz w:val="20"/>
                <w:szCs w:val="20"/>
              </w:rPr>
              <w:fldChar w:fldCharType="separate"/>
            </w:r>
            <w:r w:rsidR="005D712B" w:rsidRPr="005D712B">
              <w:rPr>
                <w:rFonts w:ascii="Arial" w:hAnsi="Arial" w:cs="Arial"/>
                <w:noProof/>
                <w:webHidden/>
                <w:sz w:val="20"/>
                <w:szCs w:val="20"/>
              </w:rPr>
              <w:t>4</w:t>
            </w:r>
            <w:r w:rsidR="00796E9B" w:rsidRPr="005D712B">
              <w:rPr>
                <w:rFonts w:ascii="Arial" w:hAnsi="Arial" w:cs="Arial"/>
                <w:noProof/>
                <w:webHidden/>
                <w:sz w:val="20"/>
                <w:szCs w:val="20"/>
              </w:rPr>
              <w:fldChar w:fldCharType="end"/>
            </w:r>
          </w:hyperlink>
        </w:p>
        <w:p w:rsidR="00796E9B" w:rsidRPr="005D712B" w:rsidRDefault="00E668AA">
          <w:pPr>
            <w:pStyle w:val="Obsah2"/>
            <w:tabs>
              <w:tab w:val="left" w:pos="660"/>
              <w:tab w:val="right" w:leader="dot" w:pos="9062"/>
            </w:tabs>
            <w:rPr>
              <w:rFonts w:ascii="Arial" w:eastAsiaTheme="minorEastAsia" w:hAnsi="Arial" w:cs="Arial"/>
              <w:noProof/>
              <w:sz w:val="20"/>
              <w:szCs w:val="20"/>
              <w:lang w:eastAsia="cs-CZ"/>
            </w:rPr>
          </w:pPr>
          <w:hyperlink w:anchor="_Toc46302062" w:history="1">
            <w:r w:rsidR="00796E9B" w:rsidRPr="005D712B">
              <w:rPr>
                <w:rStyle w:val="Hypertextovodkaz"/>
                <w:rFonts w:ascii="Arial" w:hAnsi="Arial" w:cs="Arial"/>
                <w:noProof/>
                <w:sz w:val="20"/>
                <w:szCs w:val="20"/>
              </w:rPr>
              <w:t>3.</w:t>
            </w:r>
            <w:r w:rsidR="00796E9B" w:rsidRPr="005D712B">
              <w:rPr>
                <w:rFonts w:ascii="Arial" w:eastAsiaTheme="minorEastAsia" w:hAnsi="Arial" w:cs="Arial"/>
                <w:noProof/>
                <w:sz w:val="20"/>
                <w:szCs w:val="20"/>
                <w:lang w:eastAsia="cs-CZ"/>
              </w:rPr>
              <w:tab/>
            </w:r>
            <w:r w:rsidR="00796E9B" w:rsidRPr="005D712B">
              <w:rPr>
                <w:rStyle w:val="Hypertextovodkaz"/>
                <w:rFonts w:ascii="Arial" w:hAnsi="Arial" w:cs="Arial"/>
                <w:noProof/>
                <w:sz w:val="20"/>
                <w:szCs w:val="20"/>
              </w:rPr>
              <w:t>Závěr</w:t>
            </w:r>
            <w:r w:rsidR="00796E9B" w:rsidRPr="005D712B">
              <w:rPr>
                <w:rFonts w:ascii="Arial" w:hAnsi="Arial" w:cs="Arial"/>
                <w:noProof/>
                <w:webHidden/>
                <w:sz w:val="20"/>
                <w:szCs w:val="20"/>
              </w:rPr>
              <w:tab/>
            </w:r>
            <w:r w:rsidR="00796E9B" w:rsidRPr="005D712B">
              <w:rPr>
                <w:rFonts w:ascii="Arial" w:hAnsi="Arial" w:cs="Arial"/>
                <w:noProof/>
                <w:webHidden/>
                <w:sz w:val="20"/>
                <w:szCs w:val="20"/>
              </w:rPr>
              <w:fldChar w:fldCharType="begin"/>
            </w:r>
            <w:r w:rsidR="00796E9B" w:rsidRPr="005D712B">
              <w:rPr>
                <w:rFonts w:ascii="Arial" w:hAnsi="Arial" w:cs="Arial"/>
                <w:noProof/>
                <w:webHidden/>
                <w:sz w:val="20"/>
                <w:szCs w:val="20"/>
              </w:rPr>
              <w:instrText xml:space="preserve"> PAGEREF _Toc46302062 \h </w:instrText>
            </w:r>
            <w:r w:rsidR="00796E9B" w:rsidRPr="005D712B">
              <w:rPr>
                <w:rFonts w:ascii="Arial" w:hAnsi="Arial" w:cs="Arial"/>
                <w:noProof/>
                <w:webHidden/>
                <w:sz w:val="20"/>
                <w:szCs w:val="20"/>
              </w:rPr>
            </w:r>
            <w:r w:rsidR="00796E9B" w:rsidRPr="005D712B">
              <w:rPr>
                <w:rFonts w:ascii="Arial" w:hAnsi="Arial" w:cs="Arial"/>
                <w:noProof/>
                <w:webHidden/>
                <w:sz w:val="20"/>
                <w:szCs w:val="20"/>
              </w:rPr>
              <w:fldChar w:fldCharType="separate"/>
            </w:r>
            <w:r w:rsidR="005D712B" w:rsidRPr="005D712B">
              <w:rPr>
                <w:rFonts w:ascii="Arial" w:hAnsi="Arial" w:cs="Arial"/>
                <w:noProof/>
                <w:webHidden/>
                <w:sz w:val="20"/>
                <w:szCs w:val="20"/>
              </w:rPr>
              <w:t>6</w:t>
            </w:r>
            <w:r w:rsidR="00796E9B" w:rsidRPr="005D712B">
              <w:rPr>
                <w:rFonts w:ascii="Arial" w:hAnsi="Arial" w:cs="Arial"/>
                <w:noProof/>
                <w:webHidden/>
                <w:sz w:val="20"/>
                <w:szCs w:val="20"/>
              </w:rPr>
              <w:fldChar w:fldCharType="end"/>
            </w:r>
          </w:hyperlink>
        </w:p>
        <w:p w:rsidR="0061375A" w:rsidRPr="0061375A" w:rsidRDefault="0061375A">
          <w:pPr>
            <w:rPr>
              <w:rFonts w:ascii="Arial" w:hAnsi="Arial" w:cs="Arial"/>
              <w:sz w:val="20"/>
              <w:szCs w:val="20"/>
            </w:rPr>
          </w:pPr>
          <w:r w:rsidRPr="005D712B">
            <w:rPr>
              <w:rFonts w:ascii="Arial" w:hAnsi="Arial" w:cs="Arial"/>
              <w:b/>
              <w:bCs/>
              <w:sz w:val="20"/>
              <w:szCs w:val="20"/>
            </w:rPr>
            <w:fldChar w:fldCharType="end"/>
          </w:r>
        </w:p>
      </w:sdtContent>
    </w:sdt>
    <w:p w:rsidR="000775F2" w:rsidRPr="004B5752" w:rsidRDefault="000775F2" w:rsidP="004B5752">
      <w:pPr>
        <w:pStyle w:val="Nadpis2"/>
      </w:pPr>
      <w:bookmarkStart w:id="2" w:name="_Toc46302059"/>
      <w:r w:rsidRPr="004B5752">
        <w:t>Úvod</w:t>
      </w:r>
      <w:bookmarkEnd w:id="2"/>
    </w:p>
    <w:p w:rsidR="000775F2" w:rsidRPr="000775F2" w:rsidRDefault="000775F2" w:rsidP="000775F2">
      <w:pPr>
        <w:spacing w:after="120" w:line="276" w:lineRule="auto"/>
        <w:rPr>
          <w:rFonts w:ascii="Arial" w:hAnsi="Arial" w:cs="Arial"/>
          <w:b/>
          <w:bCs/>
          <w:sz w:val="20"/>
          <w:szCs w:val="20"/>
        </w:rPr>
      </w:pPr>
      <w:r w:rsidRPr="000775F2">
        <w:rPr>
          <w:rFonts w:ascii="Arial" w:hAnsi="Arial" w:cs="Arial"/>
          <w:b/>
          <w:bCs/>
          <w:sz w:val="20"/>
          <w:szCs w:val="20"/>
        </w:rPr>
        <w:t>Přínos cestovního ruchu pro ekonomiku ČR a dopady pandemie Covid 19</w:t>
      </w:r>
    </w:p>
    <w:p w:rsidR="000775F2" w:rsidRPr="000775F2" w:rsidRDefault="000775F2" w:rsidP="000775F2">
      <w:pPr>
        <w:spacing w:after="120" w:line="276" w:lineRule="auto"/>
        <w:rPr>
          <w:rFonts w:ascii="Arial" w:hAnsi="Arial" w:cs="Arial"/>
          <w:b/>
          <w:bCs/>
          <w:sz w:val="20"/>
          <w:szCs w:val="20"/>
        </w:rPr>
      </w:pPr>
      <w:r w:rsidRPr="000775F2">
        <w:rPr>
          <w:rFonts w:ascii="Arial" w:hAnsi="Arial" w:cs="Arial"/>
          <w:b/>
          <w:bCs/>
          <w:sz w:val="20"/>
          <w:szCs w:val="20"/>
        </w:rPr>
        <w:t>Spotřeba CR dle typů CR (v mil. Kč)</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 xml:space="preserve">Spotřeba cestovního ruchu je chápana jako celkový objem prostředků vydaných na cestovní ruch nerezidenty a rezidenty v souvislosti s Českou republikou. Dělí se na spotřebu PŘÍJEZDOVÉHO CR (výdaje nerezidentů plynoucí do ČR včetně výdajů, které jsou zaplaceny mimo ekonomické území ČR (ve vlastní zemi nerezidenta, ale směřující do ní formou různých plateb - např. část výdajů za zájezd)), DOMÁCÍHO CR (spotřeba rezidentů ČR v rámci domácího turismu) a VÝJEZDOVÉHO CR (spotřeba rezidentů ČR v zahraničí). V roce 2018 byla spotřeba vnitřního CR (incoming + DCR) téměř 295 mld. Kč, dle odhadů za rok 2019 tato spotřeba činila 300 mld. Kč. </w:t>
      </w:r>
    </w:p>
    <w:p w:rsidR="000775F2" w:rsidRPr="000775F2" w:rsidRDefault="000775F2" w:rsidP="000775F2">
      <w:pPr>
        <w:spacing w:after="120" w:line="276" w:lineRule="auto"/>
        <w:rPr>
          <w:rFonts w:ascii="Arial" w:hAnsi="Arial" w:cs="Arial"/>
          <w:sz w:val="20"/>
          <w:szCs w:val="20"/>
        </w:rPr>
      </w:pPr>
      <w:r w:rsidRPr="000775F2">
        <w:rPr>
          <w:rFonts w:ascii="Arial" w:hAnsi="Arial" w:cs="Arial"/>
          <w:noProof/>
          <w:sz w:val="20"/>
          <w:szCs w:val="20"/>
          <w:lang w:eastAsia="cs-CZ"/>
        </w:rPr>
        <w:drawing>
          <wp:inline distT="0" distB="0" distL="0" distR="0" wp14:anchorId="2B9EF517" wp14:editId="0C2D488D">
            <wp:extent cx="5622036" cy="20669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58" t="57937" r="52712" b="22222"/>
                    <a:stretch/>
                  </pic:blipFill>
                  <pic:spPr bwMode="auto">
                    <a:xfrm>
                      <a:off x="0" y="0"/>
                      <a:ext cx="5628772" cy="2069402"/>
                    </a:xfrm>
                    <a:prstGeom prst="rect">
                      <a:avLst/>
                    </a:prstGeom>
                    <a:ln>
                      <a:noFill/>
                    </a:ln>
                    <a:extLst>
                      <a:ext uri="{53640926-AAD7-44D8-BBD7-CCE9431645EC}">
                        <a14:shadowObscured xmlns:a14="http://schemas.microsoft.com/office/drawing/2010/main"/>
                      </a:ext>
                    </a:extLst>
                  </pic:spPr>
                </pic:pic>
              </a:graphicData>
            </a:graphic>
          </wp:inline>
        </w:drawing>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 xml:space="preserve">Situace kolem pandemie COVID-19 a nezbytná bezpečnostní opatření ovlivňují odvětví CR v ČR již od února 2020 a vygradovala uzavřením hranic, omezením pohybu obyvatel ČR7 a zákazem vykonávání činnosti určitých služeb a de facto uzavřením celé řady provozoven, včetně ubytovacích, stravovacích zařízení, kulturních institucí, turistických informačních center, památek a dalších atraktivit CR, včetně sportovišť. </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 xml:space="preserve">V současné době nejsou dostupná data, která by umožnila přesné vyčíslení dopadu realizovaných preventivních opatření. Nejrelevantnějším zdrojem, který odhaduje dopady pandemie Covid 19 na cestovní ruch v Česku je </w:t>
      </w:r>
      <w:r w:rsidRPr="000775F2">
        <w:rPr>
          <w:rFonts w:ascii="Arial" w:hAnsi="Arial" w:cs="Arial"/>
          <w:b/>
          <w:bCs/>
          <w:sz w:val="20"/>
          <w:szCs w:val="20"/>
        </w:rPr>
        <w:t>Analýza modelových dopadů na odvětví CR v ČR vyplývající ze světové pandemie koronaviru</w:t>
      </w:r>
      <w:r w:rsidRPr="000775F2">
        <w:rPr>
          <w:rFonts w:ascii="Arial" w:hAnsi="Arial" w:cs="Arial"/>
          <w:sz w:val="20"/>
          <w:szCs w:val="20"/>
        </w:rPr>
        <w:t xml:space="preserve"> zpracovaná na přelomu března a dubna 2020 společností Economic Impact, v.o.s.</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 xml:space="preserve">Analýza pracuje s kvalifikovanými odhady možných ztrát odvětví dle 3 předpokládaných scénářů (předpokládaná obnova CR: V1 červen 2020, V2 září 2020, V3 leden 2021). Vzhledem k aktuálnímu vývoji je zřejmé, že varianta „leden 2021“ v současné době neplatí, a proto pracujeme s variantami </w:t>
      </w:r>
      <w:r w:rsidRPr="000775F2">
        <w:rPr>
          <w:rFonts w:ascii="Arial" w:hAnsi="Arial" w:cs="Arial"/>
          <w:sz w:val="20"/>
          <w:szCs w:val="20"/>
        </w:rPr>
        <w:lastRenderedPageBreak/>
        <w:t>domácí CR červen 2020 a příjezdový CR s otevřením dle aktuálního epidemiologického vývoje, pravděpodobně v průběhu druhého pololetí 2020.</w:t>
      </w:r>
    </w:p>
    <w:p w:rsidR="000775F2" w:rsidRPr="000775F2" w:rsidRDefault="000775F2" w:rsidP="000775F2">
      <w:pPr>
        <w:spacing w:after="120" w:line="276" w:lineRule="auto"/>
        <w:rPr>
          <w:rFonts w:ascii="Arial" w:hAnsi="Arial" w:cs="Arial"/>
          <w:sz w:val="20"/>
          <w:szCs w:val="20"/>
        </w:rPr>
      </w:pPr>
      <w:r w:rsidRPr="000775F2">
        <w:rPr>
          <w:rFonts w:ascii="Arial" w:hAnsi="Arial" w:cs="Arial"/>
          <w:sz w:val="20"/>
          <w:szCs w:val="20"/>
        </w:rPr>
        <w:t>Tabulka 1: Odhadovaný vývoj spotřeby CR (mld. Kč)</w:t>
      </w:r>
    </w:p>
    <w:p w:rsidR="000775F2" w:rsidRPr="000775F2" w:rsidRDefault="000775F2" w:rsidP="000775F2">
      <w:pPr>
        <w:spacing w:after="120" w:line="276" w:lineRule="auto"/>
        <w:rPr>
          <w:rFonts w:ascii="Arial" w:hAnsi="Arial" w:cs="Arial"/>
          <w:sz w:val="20"/>
          <w:szCs w:val="20"/>
        </w:rPr>
      </w:pPr>
      <w:r w:rsidRPr="000775F2">
        <w:rPr>
          <w:rFonts w:ascii="Arial" w:hAnsi="Arial" w:cs="Arial"/>
          <w:noProof/>
          <w:sz w:val="20"/>
          <w:szCs w:val="20"/>
          <w:lang w:eastAsia="cs-CZ"/>
        </w:rPr>
        <w:drawing>
          <wp:inline distT="0" distB="0" distL="0" distR="0" wp14:anchorId="404510DB" wp14:editId="34A46DE9">
            <wp:extent cx="5293981" cy="2209800"/>
            <wp:effectExtent l="0" t="0" r="254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921" t="27778" r="35020" b="35450"/>
                    <a:stretch/>
                  </pic:blipFill>
                  <pic:spPr bwMode="auto">
                    <a:xfrm>
                      <a:off x="0" y="0"/>
                      <a:ext cx="5304092" cy="2214021"/>
                    </a:xfrm>
                    <a:prstGeom prst="rect">
                      <a:avLst/>
                    </a:prstGeom>
                    <a:ln>
                      <a:noFill/>
                    </a:ln>
                    <a:extLst>
                      <a:ext uri="{53640926-AAD7-44D8-BBD7-CCE9431645EC}">
                        <a14:shadowObscured xmlns:a14="http://schemas.microsoft.com/office/drawing/2010/main"/>
                      </a:ext>
                    </a:extLst>
                  </pic:spPr>
                </pic:pic>
              </a:graphicData>
            </a:graphic>
          </wp:inline>
        </w:drawing>
      </w:r>
    </w:p>
    <w:p w:rsidR="000775F2" w:rsidRPr="000775F2" w:rsidRDefault="000775F2" w:rsidP="000775F2">
      <w:pPr>
        <w:spacing w:after="120" w:line="276" w:lineRule="auto"/>
        <w:rPr>
          <w:rFonts w:ascii="Arial" w:hAnsi="Arial" w:cs="Arial"/>
          <w:sz w:val="20"/>
          <w:szCs w:val="20"/>
        </w:rPr>
      </w:pPr>
      <w:r w:rsidRPr="000775F2">
        <w:rPr>
          <w:rFonts w:ascii="Arial" w:hAnsi="Arial" w:cs="Arial"/>
          <w:sz w:val="20"/>
          <w:szCs w:val="20"/>
        </w:rPr>
        <w:t>Zdroj: Economic Impact, v.o.s.</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Tabulka popisuje spotřebu cestovního ruchu ČR. Ta je chápana jako celkový objem prostředků vydaných na cestovní ruch rezidenty a nerezidenty, které plynou do ČR. Dále zobrazuje ztrátu na hodnotě tohoto ukazatele v roce 2020 ve dvou variantách v závislosti na době trvání nouzového stavu. (jako reálná se tedy ukázala varianta „červen“, kdy ČR začala fungovat bez nouzového stavu).</w:t>
      </w:r>
    </w:p>
    <w:p w:rsidR="000775F2" w:rsidRPr="000775F2" w:rsidRDefault="000775F2" w:rsidP="000775F2">
      <w:pPr>
        <w:spacing w:after="120" w:line="276" w:lineRule="auto"/>
        <w:jc w:val="both"/>
        <w:rPr>
          <w:rFonts w:ascii="Arial" w:hAnsi="Arial" w:cs="Arial"/>
          <w:b/>
          <w:bCs/>
          <w:sz w:val="20"/>
          <w:szCs w:val="20"/>
        </w:rPr>
      </w:pPr>
      <w:r w:rsidRPr="000775F2">
        <w:rPr>
          <w:rFonts w:ascii="Arial" w:hAnsi="Arial" w:cs="Arial"/>
          <w:b/>
          <w:bCs/>
          <w:sz w:val="20"/>
          <w:szCs w:val="20"/>
        </w:rPr>
        <w:t xml:space="preserve">Zaměstnanost v cestovním ruchu </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V CR v roce 2018 pracoval každý 22. Čech. Sektor zaměstnával více osob než sektory zemědělství, lesnictví, rybářství, těžba a dobývání dohromady. Dopady a důsledky COVID-19 na CR mohou být kritické. Bez záchranných nástrojů a opatření může propad zaměstnanosti ve službách CR zvýšit nezaměstnanost v ČR o 3,2 % (bez multiplikace).</w:t>
      </w:r>
    </w:p>
    <w:p w:rsidR="000775F2" w:rsidRPr="000775F2" w:rsidRDefault="000775F2" w:rsidP="000775F2">
      <w:pPr>
        <w:spacing w:after="120" w:line="276" w:lineRule="auto"/>
        <w:rPr>
          <w:rFonts w:ascii="Arial" w:hAnsi="Arial" w:cs="Arial"/>
          <w:b/>
          <w:bCs/>
          <w:sz w:val="20"/>
          <w:szCs w:val="20"/>
        </w:rPr>
      </w:pPr>
      <w:r w:rsidRPr="000775F2">
        <w:rPr>
          <w:rFonts w:ascii="Arial" w:hAnsi="Arial" w:cs="Arial"/>
          <w:b/>
          <w:bCs/>
          <w:sz w:val="20"/>
          <w:szCs w:val="20"/>
        </w:rPr>
        <w:t>Předpokládaný odhad ztráty pracovních míst v odvětví CR dle krajů (obnova CR v červnu 2020)</w:t>
      </w:r>
    </w:p>
    <w:p w:rsidR="000775F2" w:rsidRPr="000775F2" w:rsidRDefault="000775F2" w:rsidP="000775F2">
      <w:pPr>
        <w:spacing w:after="120" w:line="276" w:lineRule="auto"/>
        <w:rPr>
          <w:rFonts w:ascii="Arial" w:hAnsi="Arial" w:cs="Arial"/>
          <w:b/>
          <w:bCs/>
          <w:sz w:val="20"/>
          <w:szCs w:val="20"/>
        </w:rPr>
      </w:pPr>
      <w:r w:rsidRPr="000775F2">
        <w:rPr>
          <w:rFonts w:ascii="Arial" w:hAnsi="Arial" w:cs="Arial"/>
          <w:noProof/>
          <w:sz w:val="20"/>
          <w:szCs w:val="20"/>
          <w:lang w:eastAsia="cs-CZ"/>
        </w:rPr>
        <w:drawing>
          <wp:inline distT="0" distB="0" distL="0" distR="0" wp14:anchorId="23196102" wp14:editId="1FAB49A5">
            <wp:extent cx="5987941" cy="56197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393" t="49471" r="35516" b="42857"/>
                    <a:stretch/>
                  </pic:blipFill>
                  <pic:spPr bwMode="auto">
                    <a:xfrm>
                      <a:off x="0" y="0"/>
                      <a:ext cx="6004788" cy="563556"/>
                    </a:xfrm>
                    <a:prstGeom prst="rect">
                      <a:avLst/>
                    </a:prstGeom>
                    <a:ln>
                      <a:noFill/>
                    </a:ln>
                    <a:extLst>
                      <a:ext uri="{53640926-AAD7-44D8-BBD7-CCE9431645EC}">
                        <a14:shadowObscured xmlns:a14="http://schemas.microsoft.com/office/drawing/2010/main"/>
                      </a:ext>
                    </a:extLst>
                  </pic:spPr>
                </pic:pic>
              </a:graphicData>
            </a:graphic>
          </wp:inline>
        </w:drawing>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Tabulka obsahuje předpokládanou hodnotu ztrát pracovních míst v odvětví CR za jednotlivé kraje ČR v souvislosti s pandemií COVID-19. Kritická je situace zejména v sektoru lázeňství (z aktuálně dostupných dat ÚZIS9 vyplývá, že v roce 2018 lázeňská zařízení v ČR navštívilo celkem 370 573 klientů, z toho cca 30 % bylo klientů komplexní / příspěvkové lázeňské péče, 27 % klientů samoplátců z ČR a cca 43 % klientů tvoří zahraniční návštěvníci, v Karlovarském kraji je poměr zahraničních návštěvníků větší).</w:t>
      </w:r>
    </w:p>
    <w:p w:rsidR="000775F2" w:rsidRPr="000775F2" w:rsidRDefault="000775F2" w:rsidP="000775F2">
      <w:pPr>
        <w:spacing w:after="120" w:line="276" w:lineRule="auto"/>
        <w:jc w:val="both"/>
        <w:rPr>
          <w:rFonts w:ascii="Arial" w:hAnsi="Arial" w:cs="Arial"/>
          <w:b/>
          <w:bCs/>
          <w:sz w:val="20"/>
          <w:szCs w:val="20"/>
        </w:rPr>
      </w:pPr>
      <w:r w:rsidRPr="000775F2">
        <w:rPr>
          <w:rFonts w:ascii="Arial" w:hAnsi="Arial" w:cs="Arial"/>
          <w:b/>
          <w:bCs/>
          <w:sz w:val="20"/>
          <w:szCs w:val="20"/>
        </w:rPr>
        <w:t>Segmentace domácího a příjezdového cestovního ruchu v Česku</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V České republice je vyrovnaný podíl zahraničních a domácích hostů. Obě skupiny se doplňují. Nejvíce zahraničních hostů přenocuje v Praze, Karlovarském a Jihočeském kraji. Domácí turisté vyhledávají zejména ubytování v přírodě mimo města. V posledních letech dochází k mírnému překryvu (němečtí turisté na Šumavě a v Krušných horách a polští turisté v Krkonoších a v Jeseníkách, naopak domácí turisté začali jezdit do Olomouce, Ostravy a dalších krajských měst - gastronomie, eventy a business klientela).</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 xml:space="preserve">Aktuální (léto 2020) obsazenost ubytovacích kapacit v horských oblastech se pohybuje kolem 60 % v hlavní sezóně (červenec a srpen) a 30 % v září. V krajských městech je obsazenost naopak do 10 % přes prázdniny a cca 30 % v září (očekávané nastartování business klientely). Z hlediska přenocování </w:t>
      </w:r>
      <w:r w:rsidRPr="000775F2">
        <w:rPr>
          <w:rFonts w:ascii="Arial" w:hAnsi="Arial" w:cs="Arial"/>
          <w:sz w:val="20"/>
          <w:szCs w:val="20"/>
        </w:rPr>
        <w:lastRenderedPageBreak/>
        <w:t>jsou klíčové lázeňské služby, kde se odehraje téměř 25 % celkového počtu přenocování, a to zejména díky nadprůměrné délce pobytu.</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 xml:space="preserve">Z hlediska útrat je klíčový kongresový turismus, který přináší až dvojnásobně vysoké útraty ve srovnání s klasickým leisure turismem. </w:t>
      </w:r>
    </w:p>
    <w:p w:rsidR="000775F2" w:rsidRPr="000775F2" w:rsidRDefault="000775F2" w:rsidP="000775F2">
      <w:pPr>
        <w:spacing w:after="120" w:line="276" w:lineRule="auto"/>
        <w:rPr>
          <w:rFonts w:ascii="Arial" w:hAnsi="Arial" w:cs="Arial"/>
          <w:b/>
          <w:bCs/>
          <w:sz w:val="20"/>
          <w:szCs w:val="20"/>
        </w:rPr>
      </w:pPr>
      <w:r w:rsidRPr="000775F2">
        <w:rPr>
          <w:rFonts w:ascii="Arial" w:hAnsi="Arial" w:cs="Arial"/>
          <w:b/>
          <w:bCs/>
          <w:sz w:val="20"/>
          <w:szCs w:val="20"/>
        </w:rPr>
        <w:t>Ohrožené segmenty</w:t>
      </w:r>
    </w:p>
    <w:p w:rsidR="000775F2" w:rsidRPr="000775F2" w:rsidRDefault="000775F2" w:rsidP="000775F2">
      <w:pPr>
        <w:pStyle w:val="Odstavecseseznamem"/>
        <w:numPr>
          <w:ilvl w:val="0"/>
          <w:numId w:val="1"/>
        </w:numPr>
        <w:spacing w:after="120" w:line="276" w:lineRule="auto"/>
        <w:jc w:val="both"/>
        <w:rPr>
          <w:rFonts w:ascii="Arial" w:hAnsi="Arial" w:cs="Arial"/>
          <w:sz w:val="20"/>
          <w:szCs w:val="20"/>
        </w:rPr>
      </w:pPr>
      <w:r w:rsidRPr="000775F2">
        <w:rPr>
          <w:rFonts w:ascii="Arial" w:hAnsi="Arial" w:cs="Arial"/>
          <w:sz w:val="20"/>
          <w:szCs w:val="20"/>
        </w:rPr>
        <w:t xml:space="preserve">Nejpostiženější segment budou větší ubytovací a kongresové kapacity v krajských městech, kterým klesla obsazenost na ekonomicky neudržitelných 5-10 % (v čele s Prahou), které ohrožuje výpadek zahraničních turistů a omezení kongresového turismu. </w:t>
      </w:r>
    </w:p>
    <w:p w:rsidR="000775F2" w:rsidRPr="000775F2" w:rsidRDefault="000775F2" w:rsidP="000775F2">
      <w:pPr>
        <w:pStyle w:val="Odstavecseseznamem"/>
        <w:numPr>
          <w:ilvl w:val="0"/>
          <w:numId w:val="1"/>
        </w:numPr>
        <w:spacing w:after="120" w:line="276" w:lineRule="auto"/>
        <w:jc w:val="both"/>
        <w:rPr>
          <w:rFonts w:ascii="Arial" w:hAnsi="Arial" w:cs="Arial"/>
          <w:sz w:val="20"/>
          <w:szCs w:val="20"/>
        </w:rPr>
      </w:pPr>
      <w:r w:rsidRPr="000775F2">
        <w:rPr>
          <w:rFonts w:ascii="Arial" w:hAnsi="Arial" w:cs="Arial"/>
          <w:sz w:val="20"/>
          <w:szCs w:val="20"/>
        </w:rPr>
        <w:t>V lázeňství bude postižena zejména část kapacit spoléhající na zahraniční klientelu, a to zejména v postiženém regionu Karlovarsku, kde výhled obsazenosti po zrušení restriktivních opatření dosahuje maximálně 20 % a některé velké hotely už oznámily zavření do konce roku 2020.</w:t>
      </w:r>
    </w:p>
    <w:p w:rsidR="000775F2" w:rsidRPr="000775F2" w:rsidRDefault="000775F2" w:rsidP="000775F2">
      <w:pPr>
        <w:pStyle w:val="Odstavecseseznamem"/>
        <w:numPr>
          <w:ilvl w:val="0"/>
          <w:numId w:val="1"/>
        </w:numPr>
        <w:spacing w:after="120" w:line="276" w:lineRule="auto"/>
        <w:jc w:val="both"/>
        <w:rPr>
          <w:rFonts w:ascii="Arial" w:hAnsi="Arial" w:cs="Arial"/>
          <w:sz w:val="20"/>
          <w:szCs w:val="20"/>
        </w:rPr>
      </w:pPr>
      <w:r w:rsidRPr="000775F2">
        <w:rPr>
          <w:rFonts w:ascii="Arial" w:hAnsi="Arial" w:cs="Arial"/>
          <w:sz w:val="20"/>
          <w:szCs w:val="20"/>
        </w:rPr>
        <w:t>Menší ubytovací kapacity v přírodě budou s velkou pravděpodobností obsazena přes letní prázdniny, důležité bude ale prodloužení sezóny do září a října.</w:t>
      </w:r>
    </w:p>
    <w:p w:rsidR="000775F2" w:rsidRPr="000775F2" w:rsidRDefault="000775F2" w:rsidP="000775F2">
      <w:pPr>
        <w:spacing w:after="120" w:line="276" w:lineRule="auto"/>
        <w:jc w:val="both"/>
        <w:rPr>
          <w:rFonts w:ascii="Arial" w:hAnsi="Arial" w:cs="Arial"/>
          <w:b/>
          <w:bCs/>
          <w:sz w:val="20"/>
          <w:szCs w:val="20"/>
        </w:rPr>
      </w:pPr>
      <w:r w:rsidRPr="000775F2">
        <w:rPr>
          <w:rFonts w:ascii="Arial" w:hAnsi="Arial" w:cs="Arial"/>
          <w:b/>
          <w:bCs/>
          <w:sz w:val="20"/>
          <w:szCs w:val="20"/>
        </w:rPr>
        <w:t xml:space="preserve">Obsazenost ubytovacích kapacit </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Průměrná obsazenost ubytovacích zařízení jen za první čtvrtletí 2020 poklesla v Praze (která představuje více než polovinu cestovního ruchu) o 34,4 %, konkrétně z 64,3 % na 42,2 % a RevPAR (tržby na jeden disponibilní pokoj) o 36,1 %, konkrétně ze 46,- € na 29,- €. Přičemž druhé čtvrtletí roku bude vzhledem k uzavření provozů ještě výrazně horší. Údaje vycházejí z pravidelné statistiky STR Report.</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 xml:space="preserve">Dle dat společnosti Previo je obsazenost do konce letní sezony o 10 % nižší než ve stejném období loňského roku (data z konce května 2020). Rozdíly jsou v jednotlivých regionech, největší propad má dle očekávání Praha a Karlovarský kraj. </w:t>
      </w:r>
    </w:p>
    <w:p w:rsidR="000775F2" w:rsidRPr="000775F2" w:rsidRDefault="000775F2" w:rsidP="000775F2">
      <w:pPr>
        <w:spacing w:after="120" w:line="276" w:lineRule="auto"/>
        <w:rPr>
          <w:rFonts w:ascii="Arial" w:hAnsi="Arial" w:cs="Arial"/>
          <w:b/>
          <w:bCs/>
          <w:sz w:val="20"/>
          <w:szCs w:val="20"/>
        </w:rPr>
      </w:pPr>
      <w:r w:rsidRPr="000775F2">
        <w:rPr>
          <w:rFonts w:ascii="Arial" w:hAnsi="Arial" w:cs="Arial"/>
          <w:b/>
          <w:bCs/>
          <w:sz w:val="20"/>
          <w:szCs w:val="20"/>
        </w:rPr>
        <w:t>Turismus ve světě – krátkodobá a střednědobá predikce</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Světový trh cestovního ruchu může v letošním roce v důsledku pandemie Covid 19 ztratit téměř pětinu globálních příjezdů. Vyplývá to z prognózy společnosti Tourism Economics z března 2020. Její pesimistický scénář počítá s poklesem příjezdů o 18 % v celosvětovém měřítku.</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Scénář zahrnuje globální recesi se zpomalením růstu HDP z 2,6 % na 1,1 % v roce 2020, to bude mít dopad na všechny významné ekonomiky. V optimistické variantě počítají analytici s meziročním poklesem globálního turismu jen o 11 %. Propad cestovního ruchu nebude jen přímým důsledkem nařízených restrikcí, ale také neochoty firem i jednotlivců podstoupit riziko spojené s cestováním. Dobrou zprávou je, že jakmile pandemie odezní, bude cestovní ruch schopný velmi rychlé obnovy. Turistická poptávka se v minulosti několikrát projevila jako velmi odolná a schopná rychlé obnovy po různých krizích. Očekává se, že k plné obnově turismu dojde do roku 2023.</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Dle průzkumu WTTC v případě krizí epidemií a krizí spojených se zdravotním rizikem trvalo cestovnímu ruchu v průměru 19,4 měsíců, než se zotavil na hodnotu příjezdů před začátkem krize. Minimální doba na zotavení byla 10 měsíců, maximální téměř 35 měsíců.</w:t>
      </w:r>
    </w:p>
    <w:p w:rsidR="000775F2" w:rsidRPr="000775F2" w:rsidRDefault="000775F2" w:rsidP="000775F2">
      <w:pPr>
        <w:spacing w:after="120" w:line="276" w:lineRule="auto"/>
        <w:jc w:val="both"/>
        <w:rPr>
          <w:rFonts w:ascii="Arial" w:hAnsi="Arial" w:cs="Arial"/>
          <w:b/>
          <w:bCs/>
          <w:sz w:val="20"/>
          <w:szCs w:val="20"/>
        </w:rPr>
      </w:pPr>
      <w:r w:rsidRPr="000775F2">
        <w:rPr>
          <w:rFonts w:ascii="Arial" w:hAnsi="Arial" w:cs="Arial"/>
          <w:b/>
          <w:bCs/>
          <w:sz w:val="20"/>
          <w:szCs w:val="20"/>
        </w:rPr>
        <w:t>Travel sentiment na zdrojových trzích</w:t>
      </w:r>
    </w:p>
    <w:p w:rsidR="000775F2" w:rsidRPr="000775F2" w:rsidRDefault="000775F2" w:rsidP="000775F2">
      <w:pPr>
        <w:spacing w:after="120" w:line="276" w:lineRule="auto"/>
        <w:jc w:val="both"/>
        <w:rPr>
          <w:rFonts w:ascii="Arial" w:hAnsi="Arial" w:cs="Arial"/>
          <w:sz w:val="20"/>
          <w:szCs w:val="20"/>
        </w:rPr>
      </w:pPr>
      <w:r w:rsidRPr="000775F2">
        <w:rPr>
          <w:rFonts w:ascii="Arial" w:hAnsi="Arial" w:cs="Arial"/>
          <w:sz w:val="20"/>
          <w:szCs w:val="20"/>
        </w:rPr>
        <w:t>Hlavní zjištění napříč všemi trhy</w:t>
      </w:r>
    </w:p>
    <w:p w:rsidR="000775F2" w:rsidRPr="000775F2" w:rsidRDefault="000775F2" w:rsidP="000775F2">
      <w:pPr>
        <w:pStyle w:val="Odstavecseseznamem"/>
        <w:numPr>
          <w:ilvl w:val="0"/>
          <w:numId w:val="3"/>
        </w:numPr>
        <w:spacing w:after="120" w:line="276" w:lineRule="auto"/>
        <w:jc w:val="both"/>
        <w:rPr>
          <w:rFonts w:ascii="Arial" w:hAnsi="Arial" w:cs="Arial"/>
          <w:sz w:val="20"/>
          <w:szCs w:val="20"/>
        </w:rPr>
      </w:pPr>
      <w:r w:rsidRPr="000775F2">
        <w:rPr>
          <w:rFonts w:ascii="Arial" w:hAnsi="Arial" w:cs="Arial"/>
          <w:sz w:val="20"/>
          <w:szCs w:val="20"/>
        </w:rPr>
        <w:t>Lidé museli přehodnotit své dovolenkové plány, chuť cestovat přetrvává, ale mění se jak cílová destinace, tak způsob trávení dovolené</w:t>
      </w:r>
    </w:p>
    <w:p w:rsidR="000775F2" w:rsidRPr="000775F2" w:rsidRDefault="000775F2" w:rsidP="000775F2">
      <w:pPr>
        <w:pStyle w:val="Odstavecseseznamem"/>
        <w:numPr>
          <w:ilvl w:val="0"/>
          <w:numId w:val="3"/>
        </w:numPr>
        <w:spacing w:after="120" w:line="276" w:lineRule="auto"/>
        <w:jc w:val="both"/>
        <w:rPr>
          <w:rFonts w:ascii="Arial" w:hAnsi="Arial" w:cs="Arial"/>
          <w:sz w:val="20"/>
          <w:szCs w:val="20"/>
        </w:rPr>
      </w:pPr>
      <w:r w:rsidRPr="000775F2">
        <w:rPr>
          <w:rFonts w:ascii="Arial" w:hAnsi="Arial" w:cs="Arial"/>
          <w:sz w:val="20"/>
          <w:szCs w:val="20"/>
        </w:rPr>
        <w:t>Většina cestovatelů zůstane na dovolené ve své zemi, případně vycestuje do nejbližšího okolí – je to hodně dáno tím, že mnohem méně budou cestovat letecky a volí raději auto</w:t>
      </w:r>
    </w:p>
    <w:p w:rsidR="000775F2" w:rsidRPr="000775F2" w:rsidRDefault="000775F2" w:rsidP="000775F2">
      <w:pPr>
        <w:pStyle w:val="Odstavecseseznamem"/>
        <w:numPr>
          <w:ilvl w:val="0"/>
          <w:numId w:val="3"/>
        </w:numPr>
        <w:spacing w:after="120" w:line="276" w:lineRule="auto"/>
        <w:jc w:val="both"/>
        <w:rPr>
          <w:rFonts w:ascii="Arial" w:hAnsi="Arial" w:cs="Arial"/>
          <w:sz w:val="20"/>
          <w:szCs w:val="20"/>
        </w:rPr>
      </w:pPr>
      <w:r w:rsidRPr="000775F2">
        <w:rPr>
          <w:rFonts w:ascii="Arial" w:hAnsi="Arial" w:cs="Arial"/>
          <w:sz w:val="20"/>
          <w:szCs w:val="20"/>
        </w:rPr>
        <w:t>Nechtějí cestovat v rámci větších skupin, místo zájezdů budou volit individuální cesty</w:t>
      </w:r>
    </w:p>
    <w:p w:rsidR="000775F2" w:rsidRPr="000775F2" w:rsidRDefault="000775F2" w:rsidP="000775F2">
      <w:pPr>
        <w:pStyle w:val="Odstavecseseznamem"/>
        <w:numPr>
          <w:ilvl w:val="0"/>
          <w:numId w:val="3"/>
        </w:numPr>
        <w:spacing w:after="120" w:line="276" w:lineRule="auto"/>
        <w:jc w:val="both"/>
        <w:rPr>
          <w:rFonts w:ascii="Arial" w:hAnsi="Arial" w:cs="Arial"/>
          <w:sz w:val="20"/>
          <w:szCs w:val="20"/>
        </w:rPr>
      </w:pPr>
      <w:r w:rsidRPr="000775F2">
        <w:rPr>
          <w:rFonts w:ascii="Arial" w:hAnsi="Arial" w:cs="Arial"/>
          <w:sz w:val="20"/>
          <w:szCs w:val="20"/>
        </w:rPr>
        <w:t>Ubytování volí rodinného charakteru, s možností vlastního stravovaní</w:t>
      </w:r>
    </w:p>
    <w:p w:rsidR="000775F2" w:rsidRPr="000775F2" w:rsidRDefault="000775F2" w:rsidP="000775F2">
      <w:pPr>
        <w:pStyle w:val="Odstavecseseznamem"/>
        <w:numPr>
          <w:ilvl w:val="0"/>
          <w:numId w:val="3"/>
        </w:numPr>
        <w:spacing w:after="120" w:line="276" w:lineRule="auto"/>
        <w:jc w:val="both"/>
        <w:rPr>
          <w:rFonts w:ascii="Arial" w:hAnsi="Arial" w:cs="Arial"/>
          <w:sz w:val="20"/>
          <w:szCs w:val="20"/>
        </w:rPr>
      </w:pPr>
      <w:r w:rsidRPr="000775F2">
        <w:rPr>
          <w:rFonts w:ascii="Arial" w:hAnsi="Arial" w:cs="Arial"/>
          <w:sz w:val="20"/>
          <w:szCs w:val="20"/>
        </w:rPr>
        <w:t>Motivací cestovat je nyní především pobyt na venkově, v přírodě, léčení, wellness a relaxace; je patrný odklon od dovolených ve městech a v turistických centrech</w:t>
      </w:r>
    </w:p>
    <w:p w:rsidR="000775F2" w:rsidRPr="000775F2" w:rsidRDefault="000775F2" w:rsidP="000775F2">
      <w:pPr>
        <w:pStyle w:val="Odstavecseseznamem"/>
        <w:numPr>
          <w:ilvl w:val="0"/>
          <w:numId w:val="3"/>
        </w:numPr>
        <w:spacing w:after="120" w:line="276" w:lineRule="auto"/>
        <w:jc w:val="both"/>
        <w:rPr>
          <w:rFonts w:ascii="Arial" w:hAnsi="Arial" w:cs="Arial"/>
          <w:sz w:val="20"/>
          <w:szCs w:val="20"/>
        </w:rPr>
      </w:pPr>
      <w:r w:rsidRPr="000775F2">
        <w:rPr>
          <w:rFonts w:ascii="Arial" w:hAnsi="Arial" w:cs="Arial"/>
          <w:sz w:val="20"/>
          <w:szCs w:val="20"/>
        </w:rPr>
        <w:t>Častěji plánují vycestovat do zahraničí mladší lidé, bezdětní, rodiny s dětmi zvolí pobyt doma a nejbližším okolí, lidé 60 + spíše letos do zahraniční nevycestují</w:t>
      </w:r>
    </w:p>
    <w:p w:rsidR="000775F2" w:rsidRPr="000775F2" w:rsidRDefault="000775F2" w:rsidP="000775F2">
      <w:pPr>
        <w:pStyle w:val="Odstavecseseznamem"/>
        <w:numPr>
          <w:ilvl w:val="0"/>
          <w:numId w:val="3"/>
        </w:numPr>
        <w:spacing w:after="120" w:line="276" w:lineRule="auto"/>
        <w:jc w:val="both"/>
        <w:rPr>
          <w:rFonts w:ascii="Arial" w:hAnsi="Arial" w:cs="Arial"/>
          <w:sz w:val="20"/>
          <w:szCs w:val="20"/>
        </w:rPr>
      </w:pPr>
      <w:r w:rsidRPr="000775F2">
        <w:rPr>
          <w:rFonts w:ascii="Arial" w:hAnsi="Arial" w:cs="Arial"/>
          <w:sz w:val="20"/>
          <w:szCs w:val="20"/>
        </w:rPr>
        <w:t>Největší potenciál pro ČR okolní země a dále bližší destinace, odkud je možné přicestovat autem (např. Nizozemsko) a pak Rusko (zde výzkumy i rozhovory se zástupci travel tradu ukazují velmi silnou chuť cestovat v podstatě okamžitě po uvolnění opatření).</w:t>
      </w:r>
    </w:p>
    <w:p w:rsidR="000775F2" w:rsidRPr="000775F2" w:rsidRDefault="000775F2" w:rsidP="000775F2">
      <w:pPr>
        <w:spacing w:after="120" w:line="276" w:lineRule="auto"/>
        <w:rPr>
          <w:rFonts w:ascii="Arial" w:hAnsi="Arial" w:cs="Arial"/>
          <w:b/>
          <w:bCs/>
          <w:sz w:val="20"/>
          <w:szCs w:val="20"/>
        </w:rPr>
      </w:pPr>
      <w:r w:rsidRPr="000775F2">
        <w:rPr>
          <w:rFonts w:ascii="Arial" w:hAnsi="Arial" w:cs="Arial"/>
          <w:b/>
          <w:bCs/>
          <w:sz w:val="20"/>
          <w:szCs w:val="20"/>
        </w:rPr>
        <w:t>Manažerské shrnutí</w:t>
      </w:r>
    </w:p>
    <w:p w:rsidR="000775F2" w:rsidRPr="000775F2" w:rsidRDefault="000775F2" w:rsidP="000775F2">
      <w:pPr>
        <w:pStyle w:val="Odstavecseseznamem"/>
        <w:numPr>
          <w:ilvl w:val="0"/>
          <w:numId w:val="2"/>
        </w:numPr>
        <w:pBdr>
          <w:top w:val="single" w:sz="4" w:space="1" w:color="auto"/>
          <w:left w:val="single" w:sz="4" w:space="4" w:color="auto"/>
          <w:bottom w:val="single" w:sz="4" w:space="1" w:color="auto"/>
          <w:right w:val="single" w:sz="4" w:space="4" w:color="auto"/>
        </w:pBdr>
        <w:shd w:val="clear" w:color="auto" w:fill="FFF2CC" w:themeFill="accent4" w:themeFillTint="33"/>
        <w:spacing w:after="120" w:line="276" w:lineRule="auto"/>
        <w:jc w:val="both"/>
        <w:rPr>
          <w:rFonts w:ascii="Arial" w:hAnsi="Arial" w:cs="Arial"/>
          <w:sz w:val="20"/>
          <w:szCs w:val="20"/>
        </w:rPr>
      </w:pPr>
      <w:r w:rsidRPr="000775F2">
        <w:rPr>
          <w:rFonts w:ascii="Arial" w:hAnsi="Arial" w:cs="Arial"/>
          <w:sz w:val="20"/>
          <w:szCs w:val="20"/>
        </w:rPr>
        <w:t xml:space="preserve">Spotřeba cestovního ruchu v ČR je přibližně 300 mld. Kč, z toho 124 mld. připadá na příjezdový a 90 mld. Kč na domácí cestovní ruch. Zbylých 86 mld. Kč je spotřebováno jednodenními výletníky, tranzitujícími návštěvníky a osobami na služebních cestách. </w:t>
      </w:r>
    </w:p>
    <w:p w:rsidR="000775F2" w:rsidRPr="000775F2" w:rsidRDefault="000775F2" w:rsidP="000775F2">
      <w:pPr>
        <w:pStyle w:val="Odstavecseseznamem"/>
        <w:numPr>
          <w:ilvl w:val="0"/>
          <w:numId w:val="2"/>
        </w:numPr>
        <w:pBdr>
          <w:top w:val="single" w:sz="4" w:space="1" w:color="auto"/>
          <w:left w:val="single" w:sz="4" w:space="4" w:color="auto"/>
          <w:bottom w:val="single" w:sz="4" w:space="1" w:color="auto"/>
          <w:right w:val="single" w:sz="4" w:space="4" w:color="auto"/>
        </w:pBdr>
        <w:shd w:val="clear" w:color="auto" w:fill="FFF2CC" w:themeFill="accent4" w:themeFillTint="33"/>
        <w:spacing w:after="120" w:line="276" w:lineRule="auto"/>
        <w:jc w:val="both"/>
        <w:rPr>
          <w:rFonts w:ascii="Arial" w:hAnsi="Arial" w:cs="Arial"/>
          <w:sz w:val="20"/>
          <w:szCs w:val="20"/>
        </w:rPr>
      </w:pPr>
      <w:r w:rsidRPr="000775F2">
        <w:rPr>
          <w:rFonts w:ascii="Arial" w:hAnsi="Arial" w:cs="Arial"/>
          <w:sz w:val="20"/>
          <w:szCs w:val="20"/>
        </w:rPr>
        <w:t>Nejoptimističtější varianta dopadů pandemie Covid 19 na odvětví CR v ČR odhaduje, že se spotřeba v roce 2020 propadne o 142 mld. Kč</w:t>
      </w:r>
    </w:p>
    <w:p w:rsidR="000775F2" w:rsidRPr="000775F2" w:rsidRDefault="000775F2" w:rsidP="000775F2">
      <w:pPr>
        <w:pStyle w:val="Odstavecseseznamem"/>
        <w:numPr>
          <w:ilvl w:val="0"/>
          <w:numId w:val="2"/>
        </w:numPr>
        <w:pBdr>
          <w:top w:val="single" w:sz="4" w:space="1" w:color="auto"/>
          <w:left w:val="single" w:sz="4" w:space="4" w:color="auto"/>
          <w:bottom w:val="single" w:sz="4" w:space="1" w:color="auto"/>
          <w:right w:val="single" w:sz="4" w:space="4" w:color="auto"/>
        </w:pBdr>
        <w:shd w:val="clear" w:color="auto" w:fill="FFF2CC" w:themeFill="accent4" w:themeFillTint="33"/>
        <w:spacing w:after="120" w:line="276" w:lineRule="auto"/>
        <w:jc w:val="both"/>
        <w:rPr>
          <w:rFonts w:ascii="Arial" w:hAnsi="Arial" w:cs="Arial"/>
          <w:sz w:val="20"/>
          <w:szCs w:val="20"/>
        </w:rPr>
      </w:pPr>
      <w:r w:rsidRPr="000775F2">
        <w:rPr>
          <w:rFonts w:ascii="Arial" w:hAnsi="Arial" w:cs="Arial"/>
          <w:sz w:val="20"/>
          <w:szCs w:val="20"/>
        </w:rPr>
        <w:t>V cestovním ruchu pracuje 240 tisíc zaměstnanců, v důsledku pandemie Covid 19 hrozí ztráta více než 70 tisíc pracovních míst.</w:t>
      </w:r>
    </w:p>
    <w:p w:rsidR="000775F2" w:rsidRPr="000775F2" w:rsidRDefault="000775F2" w:rsidP="000775F2">
      <w:pPr>
        <w:pStyle w:val="Odstavecseseznamem"/>
        <w:numPr>
          <w:ilvl w:val="0"/>
          <w:numId w:val="2"/>
        </w:numPr>
        <w:pBdr>
          <w:top w:val="single" w:sz="4" w:space="1" w:color="auto"/>
          <w:left w:val="single" w:sz="4" w:space="4" w:color="auto"/>
          <w:bottom w:val="single" w:sz="4" w:space="1" w:color="auto"/>
          <w:right w:val="single" w:sz="4" w:space="4" w:color="auto"/>
        </w:pBdr>
        <w:shd w:val="clear" w:color="auto" w:fill="FFF2CC" w:themeFill="accent4" w:themeFillTint="33"/>
        <w:spacing w:after="120" w:line="276" w:lineRule="auto"/>
        <w:jc w:val="both"/>
        <w:rPr>
          <w:rFonts w:ascii="Arial" w:hAnsi="Arial" w:cs="Arial"/>
          <w:sz w:val="20"/>
          <w:szCs w:val="20"/>
        </w:rPr>
      </w:pPr>
      <w:r w:rsidRPr="000775F2">
        <w:rPr>
          <w:rFonts w:ascii="Arial" w:hAnsi="Arial" w:cs="Arial"/>
          <w:sz w:val="20"/>
          <w:szCs w:val="20"/>
        </w:rPr>
        <w:t>Celosvětově je odhadováno, že se cestovní ruch vrátí naplno k hodnotám před pandemií do roku 2023. Rok 2020 se ponese především v duchu domácího turismu, v roce 2021 se očekává oživení především ze strany nejbližších destinací dosažitelných autem, k příjezd</w:t>
      </w:r>
      <w:r>
        <w:rPr>
          <w:rFonts w:ascii="Arial" w:hAnsi="Arial" w:cs="Arial"/>
          <w:sz w:val="20"/>
          <w:szCs w:val="20"/>
        </w:rPr>
        <w:t>ům ze vzdálených destinací ve vě</w:t>
      </w:r>
      <w:r w:rsidRPr="000775F2">
        <w:rPr>
          <w:rFonts w:ascii="Arial" w:hAnsi="Arial" w:cs="Arial"/>
          <w:sz w:val="20"/>
          <w:szCs w:val="20"/>
        </w:rPr>
        <w:t xml:space="preserve">tší míře dojde až cca od poloviny </w:t>
      </w:r>
      <w:r>
        <w:rPr>
          <w:rFonts w:ascii="Arial" w:hAnsi="Arial" w:cs="Arial"/>
          <w:sz w:val="20"/>
          <w:szCs w:val="20"/>
        </w:rPr>
        <w:t xml:space="preserve">roku </w:t>
      </w:r>
      <w:r w:rsidRPr="000775F2">
        <w:rPr>
          <w:rFonts w:ascii="Arial" w:hAnsi="Arial" w:cs="Arial"/>
          <w:sz w:val="20"/>
          <w:szCs w:val="20"/>
        </w:rPr>
        <w:t xml:space="preserve">2021. </w:t>
      </w:r>
    </w:p>
    <w:p w:rsidR="000775F2" w:rsidRPr="000775F2" w:rsidRDefault="000775F2" w:rsidP="000775F2">
      <w:pPr>
        <w:pStyle w:val="Odstavecseseznamem"/>
        <w:numPr>
          <w:ilvl w:val="0"/>
          <w:numId w:val="2"/>
        </w:numPr>
        <w:pBdr>
          <w:top w:val="single" w:sz="4" w:space="1" w:color="auto"/>
          <w:left w:val="single" w:sz="4" w:space="4" w:color="auto"/>
          <w:bottom w:val="single" w:sz="4" w:space="1" w:color="auto"/>
          <w:right w:val="single" w:sz="4" w:space="4" w:color="auto"/>
        </w:pBdr>
        <w:shd w:val="clear" w:color="auto" w:fill="FFF2CC" w:themeFill="accent4" w:themeFillTint="33"/>
        <w:spacing w:after="120" w:line="276" w:lineRule="auto"/>
        <w:jc w:val="both"/>
        <w:rPr>
          <w:rFonts w:ascii="Arial" w:hAnsi="Arial" w:cs="Arial"/>
          <w:sz w:val="20"/>
          <w:szCs w:val="20"/>
        </w:rPr>
      </w:pPr>
      <w:r w:rsidRPr="000775F2">
        <w:rPr>
          <w:rFonts w:ascii="Arial" w:hAnsi="Arial" w:cs="Arial"/>
          <w:sz w:val="20"/>
          <w:szCs w:val="20"/>
        </w:rPr>
        <w:t>Každoročně stráví dovolenou v ČR okolo 11 mil. zahraničních a přibližně stejný počet domácích přenocujících hostů v hromadných ubytovacích zařízeních. Pro letošní rok odhadujeme propad incomingu o více jak 30 %. Domácí CR v letošním druhém pololetí pravděpodobně posílí, nicméně dle našeho názoru nezvládne dorovnat propad z prvního pololetí a zároveň významný výpadek zahraniční bonitní klientely. Problematické bude také rovnoměrné rozložení turistů po České republice také mimo exponovanou hlavní sezonu – předcházení overtourismu v nejoblíbenějších destinacích.</w:t>
      </w:r>
    </w:p>
    <w:p w:rsidR="000775F2" w:rsidRPr="000775F2" w:rsidRDefault="000775F2" w:rsidP="000775F2">
      <w:pPr>
        <w:pStyle w:val="Odstavecseseznamem"/>
        <w:numPr>
          <w:ilvl w:val="0"/>
          <w:numId w:val="2"/>
        </w:numPr>
        <w:pBdr>
          <w:top w:val="single" w:sz="4" w:space="1" w:color="auto"/>
          <w:left w:val="single" w:sz="4" w:space="4" w:color="auto"/>
          <w:bottom w:val="single" w:sz="4" w:space="1" w:color="auto"/>
          <w:right w:val="single" w:sz="4" w:space="4" w:color="auto"/>
        </w:pBdr>
        <w:shd w:val="clear" w:color="auto" w:fill="FFF2CC" w:themeFill="accent4" w:themeFillTint="33"/>
        <w:spacing w:after="120" w:line="276" w:lineRule="auto"/>
        <w:jc w:val="both"/>
        <w:rPr>
          <w:rFonts w:ascii="Arial" w:hAnsi="Arial" w:cs="Arial"/>
          <w:sz w:val="20"/>
          <w:szCs w:val="20"/>
        </w:rPr>
      </w:pPr>
      <w:r w:rsidRPr="000775F2">
        <w:rPr>
          <w:rFonts w:ascii="Arial" w:hAnsi="Arial" w:cs="Arial"/>
          <w:sz w:val="20"/>
          <w:szCs w:val="20"/>
        </w:rPr>
        <w:t>Vzhledem k průběžnému monitoringu cestovatelských nálad nejen v ČR, ale také na zahraničních trzích jako nejvhodnější možnost eliminace dopadů vidíme podporu domácího cestovního ruchu mimo hlavní turistickou sezonu a zaměření se na okolní trhy, které pomohou vyrovnat propady v destinacích tradičně zaměřených především na zahraniční klientelu a kde není potenciál nalákat větší množství domácích hostů (Praha a další větší města, západočeské lázně, historická města a památky UNESCO).</w:t>
      </w:r>
    </w:p>
    <w:p w:rsidR="000775F2" w:rsidRPr="000775F2" w:rsidRDefault="000775F2" w:rsidP="000775F2">
      <w:pPr>
        <w:pStyle w:val="Odstavecseseznamem"/>
        <w:numPr>
          <w:ilvl w:val="0"/>
          <w:numId w:val="2"/>
        </w:numPr>
        <w:pBdr>
          <w:top w:val="single" w:sz="4" w:space="1" w:color="auto"/>
          <w:left w:val="single" w:sz="4" w:space="4" w:color="auto"/>
          <w:bottom w:val="single" w:sz="4" w:space="1" w:color="auto"/>
          <w:right w:val="single" w:sz="4" w:space="4" w:color="auto"/>
        </w:pBdr>
        <w:shd w:val="clear" w:color="auto" w:fill="FFF2CC" w:themeFill="accent4" w:themeFillTint="33"/>
        <w:spacing w:after="120" w:line="276" w:lineRule="auto"/>
        <w:jc w:val="both"/>
        <w:rPr>
          <w:rFonts w:ascii="Arial" w:hAnsi="Arial" w:cs="Arial"/>
          <w:sz w:val="20"/>
          <w:szCs w:val="20"/>
        </w:rPr>
      </w:pPr>
      <w:r w:rsidRPr="000775F2">
        <w:rPr>
          <w:rFonts w:ascii="Arial" w:hAnsi="Arial" w:cs="Arial"/>
          <w:sz w:val="20"/>
          <w:szCs w:val="20"/>
        </w:rPr>
        <w:t>Z hlediska bonity hostů a podpoře turismu ve větších městech je také vhodné zaměřit se na segment MICE a podporu MICE akcí.</w:t>
      </w:r>
    </w:p>
    <w:p w:rsidR="000775F2" w:rsidRDefault="000775F2" w:rsidP="000775F2">
      <w:pPr>
        <w:spacing w:line="276" w:lineRule="auto"/>
        <w:rPr>
          <w:rFonts w:ascii="Arial" w:hAnsi="Arial" w:cs="Arial"/>
          <w:sz w:val="20"/>
          <w:szCs w:val="20"/>
        </w:rPr>
      </w:pPr>
    </w:p>
    <w:p w:rsidR="000775F2" w:rsidRDefault="000775F2" w:rsidP="004B5752">
      <w:pPr>
        <w:pStyle w:val="Nadpis2"/>
      </w:pPr>
      <w:bookmarkStart w:id="3" w:name="_Toc46302060"/>
      <w:r>
        <w:t>Nastavení rámcových podmínek přímé podpory</w:t>
      </w:r>
      <w:r w:rsidR="009A7CF1">
        <w:t xml:space="preserve"> cestovního ruchu prostřednictvím médií</w:t>
      </w:r>
      <w:bookmarkEnd w:id="3"/>
    </w:p>
    <w:p w:rsidR="000775F2" w:rsidRDefault="000775F2" w:rsidP="000775F2">
      <w:pPr>
        <w:rPr>
          <w:rFonts w:ascii="Arial" w:hAnsi="Arial" w:cs="Arial"/>
          <w:sz w:val="20"/>
          <w:szCs w:val="20"/>
        </w:rPr>
      </w:pPr>
      <w:r w:rsidRPr="000775F2">
        <w:rPr>
          <w:rFonts w:ascii="Arial" w:hAnsi="Arial" w:cs="Arial"/>
          <w:sz w:val="20"/>
          <w:szCs w:val="20"/>
        </w:rPr>
        <w:t xml:space="preserve">Pro rychlé oživení cestovního ruchu a zajištění propagace cestování po České republice, navrhuje Ministerstvo pro místní rozvoj </w:t>
      </w:r>
      <w:r w:rsidR="00A97FB0">
        <w:rPr>
          <w:rFonts w:ascii="Arial" w:hAnsi="Arial" w:cs="Arial"/>
          <w:sz w:val="20"/>
          <w:szCs w:val="20"/>
        </w:rPr>
        <w:t>mediální kampaň prostřednictvím médií s celostátním dopadem</w:t>
      </w:r>
      <w:r w:rsidR="0067208A">
        <w:rPr>
          <w:rFonts w:ascii="Arial" w:hAnsi="Arial" w:cs="Arial"/>
          <w:sz w:val="20"/>
          <w:szCs w:val="20"/>
        </w:rPr>
        <w:t>.</w:t>
      </w:r>
    </w:p>
    <w:p w:rsidR="00DC78D0" w:rsidRPr="004B5752" w:rsidRDefault="000775F2" w:rsidP="00A97FB0">
      <w:pPr>
        <w:pStyle w:val="Nadpis3"/>
        <w:numPr>
          <w:ilvl w:val="0"/>
          <w:numId w:val="0"/>
        </w:numPr>
        <w:spacing w:after="240"/>
      </w:pPr>
      <w:bookmarkStart w:id="4" w:name="_Toc46302061"/>
      <w:r w:rsidRPr="004B5752">
        <w:t>Podpora cestovního ruchu přímým zacílením na kampaň v médiích s celostátním dopadem.</w:t>
      </w:r>
      <w:bookmarkEnd w:id="4"/>
      <w:r w:rsidRPr="004B5752">
        <w:t xml:space="preserve"> </w:t>
      </w:r>
    </w:p>
    <w:p w:rsidR="00DC78D0" w:rsidRDefault="00DC78D0" w:rsidP="00DC78D0">
      <w:pPr>
        <w:rPr>
          <w:rFonts w:ascii="Arial" w:hAnsi="Arial" w:cs="Arial"/>
          <w:sz w:val="20"/>
          <w:szCs w:val="20"/>
        </w:rPr>
      </w:pPr>
      <w:r w:rsidRPr="006A2E97">
        <w:rPr>
          <w:rFonts w:ascii="Arial" w:hAnsi="Arial" w:cs="Arial"/>
          <w:b/>
          <w:sz w:val="20"/>
          <w:szCs w:val="20"/>
        </w:rPr>
        <w:t>Celkový rozpočet:</w:t>
      </w:r>
      <w:r>
        <w:rPr>
          <w:rFonts w:ascii="Arial" w:hAnsi="Arial" w:cs="Arial"/>
          <w:sz w:val="20"/>
          <w:szCs w:val="20"/>
        </w:rPr>
        <w:t xml:space="preserve"> </w:t>
      </w:r>
      <w:r w:rsidR="00A97FB0">
        <w:rPr>
          <w:rFonts w:ascii="Arial" w:hAnsi="Arial" w:cs="Arial"/>
          <w:sz w:val="20"/>
          <w:szCs w:val="20"/>
        </w:rPr>
        <w:t>2 0</w:t>
      </w:r>
      <w:r>
        <w:rPr>
          <w:rFonts w:ascii="Arial" w:hAnsi="Arial" w:cs="Arial"/>
          <w:sz w:val="20"/>
          <w:szCs w:val="20"/>
        </w:rPr>
        <w:t>00 000 000 Kč</w:t>
      </w:r>
    </w:p>
    <w:p w:rsidR="00DC78D0" w:rsidRDefault="00A97FB0" w:rsidP="00DC78D0">
      <w:pPr>
        <w:rPr>
          <w:rFonts w:ascii="Arial" w:hAnsi="Arial" w:cs="Arial"/>
          <w:sz w:val="20"/>
          <w:szCs w:val="20"/>
        </w:rPr>
      </w:pPr>
      <w:r>
        <w:rPr>
          <w:rFonts w:ascii="Arial" w:hAnsi="Arial" w:cs="Arial"/>
          <w:b/>
          <w:sz w:val="20"/>
          <w:szCs w:val="20"/>
        </w:rPr>
        <w:t>Termín realizace</w:t>
      </w:r>
      <w:r w:rsidR="00B2033B" w:rsidRPr="006A2E97">
        <w:rPr>
          <w:rFonts w:ascii="Arial" w:hAnsi="Arial" w:cs="Arial"/>
          <w:b/>
          <w:sz w:val="20"/>
          <w:szCs w:val="20"/>
        </w:rPr>
        <w:t>:</w:t>
      </w:r>
      <w:r w:rsidR="00B2033B">
        <w:rPr>
          <w:rFonts w:ascii="Arial" w:hAnsi="Arial" w:cs="Arial"/>
          <w:sz w:val="20"/>
          <w:szCs w:val="20"/>
        </w:rPr>
        <w:t xml:space="preserve"> 15. 8. 2020</w:t>
      </w:r>
      <w:r>
        <w:rPr>
          <w:rFonts w:ascii="Arial" w:hAnsi="Arial" w:cs="Arial"/>
          <w:sz w:val="20"/>
          <w:szCs w:val="20"/>
        </w:rPr>
        <w:t xml:space="preserve"> – 31. 7. 2021</w:t>
      </w:r>
    </w:p>
    <w:p w:rsidR="006A2E97" w:rsidRDefault="006A2E97" w:rsidP="006A2E97">
      <w:pPr>
        <w:jc w:val="both"/>
        <w:rPr>
          <w:rFonts w:ascii="Arial" w:hAnsi="Arial" w:cs="Arial"/>
          <w:sz w:val="20"/>
          <w:szCs w:val="20"/>
        </w:rPr>
      </w:pPr>
      <w:r>
        <w:rPr>
          <w:rFonts w:ascii="Arial" w:hAnsi="Arial" w:cs="Arial"/>
          <w:sz w:val="20"/>
          <w:szCs w:val="20"/>
        </w:rPr>
        <w:t xml:space="preserve">Ministerstvo pro místní rozvoj při zadání kampaní využije zavedený dynamický nákupní systém (DNS). Prostřednictvím tohoto systému může zacílit kampaň na podporu cestovního ruchu cíleně v daném čase oslovením již zavedených dodavatelů. </w:t>
      </w:r>
    </w:p>
    <w:p w:rsidR="006A2E97" w:rsidRDefault="006A2E97" w:rsidP="006A2E97">
      <w:pPr>
        <w:jc w:val="both"/>
        <w:rPr>
          <w:rFonts w:ascii="Arial" w:hAnsi="Arial" w:cs="Arial"/>
          <w:sz w:val="20"/>
          <w:szCs w:val="20"/>
        </w:rPr>
      </w:pPr>
      <w:r>
        <w:rPr>
          <w:rFonts w:ascii="Arial" w:hAnsi="Arial" w:cs="Arial"/>
          <w:sz w:val="20"/>
          <w:szCs w:val="20"/>
        </w:rPr>
        <w:t>Pro nákup vysílacího času v médiích využije HLAVU 4 §29 Obecné výjimky i) 2. Zákona o zadávání veřejných zakázek na veřejnou zakázku na „nákup vysílacího času, která je zadávána provozovatelům televizního nebo rozhlasového vysílání, nebo poskytovatelům audiovizuálních mediálních služeb na vyžádání.</w:t>
      </w:r>
      <w:r w:rsidR="00A97FB0">
        <w:rPr>
          <w:rFonts w:ascii="Arial" w:hAnsi="Arial" w:cs="Arial"/>
          <w:sz w:val="20"/>
          <w:szCs w:val="20"/>
        </w:rPr>
        <w:t>“</w:t>
      </w:r>
      <w:r>
        <w:rPr>
          <w:rFonts w:ascii="Arial" w:hAnsi="Arial" w:cs="Arial"/>
          <w:sz w:val="20"/>
          <w:szCs w:val="20"/>
        </w:rPr>
        <w:t xml:space="preserve"> Tato výjimka bude schválena Pracovní skupinou pro veřejné zakázky a Vládou ČR. Prostřednictvím této výjimky budou osloveny TV skupiny, Rozhlas a online média. </w:t>
      </w:r>
    </w:p>
    <w:p w:rsidR="006A2E97" w:rsidRDefault="006A2E97" w:rsidP="006A2E97">
      <w:pPr>
        <w:jc w:val="both"/>
        <w:rPr>
          <w:rFonts w:ascii="Arial" w:hAnsi="Arial" w:cs="Arial"/>
          <w:sz w:val="20"/>
          <w:szCs w:val="20"/>
        </w:rPr>
      </w:pPr>
      <w:r>
        <w:rPr>
          <w:rFonts w:ascii="Arial" w:hAnsi="Arial" w:cs="Arial"/>
          <w:sz w:val="20"/>
          <w:szCs w:val="20"/>
        </w:rPr>
        <w:t xml:space="preserve">Ostatní inzerce v tisku a formou venkovní reklamy bude  soutěžena prostřednictvím již zmiňovaného zavedeného DNS. </w:t>
      </w:r>
    </w:p>
    <w:p w:rsidR="006A2E97" w:rsidRDefault="006A2E97" w:rsidP="006A2E97">
      <w:pPr>
        <w:jc w:val="both"/>
        <w:rPr>
          <w:rFonts w:ascii="Arial" w:hAnsi="Arial" w:cs="Arial"/>
          <w:sz w:val="20"/>
          <w:szCs w:val="20"/>
        </w:rPr>
      </w:pPr>
      <w:r>
        <w:rPr>
          <w:rFonts w:ascii="Arial" w:hAnsi="Arial" w:cs="Arial"/>
          <w:sz w:val="20"/>
          <w:szCs w:val="20"/>
        </w:rPr>
        <w:t xml:space="preserve">Kompletní propagační materiály jako podklad pro kampaň jsou již připraveny a zpracovány agenturou CzechTourism a budou pro využití ke kampani dodány médiím. </w:t>
      </w:r>
    </w:p>
    <w:p w:rsidR="006A2E97" w:rsidRPr="00DC78D0" w:rsidRDefault="006A2E97" w:rsidP="006A2E97">
      <w:pPr>
        <w:jc w:val="both"/>
        <w:rPr>
          <w:rFonts w:ascii="Arial" w:hAnsi="Arial" w:cs="Arial"/>
          <w:sz w:val="20"/>
          <w:szCs w:val="20"/>
        </w:rPr>
      </w:pPr>
      <w:r>
        <w:rPr>
          <w:rFonts w:ascii="Arial" w:hAnsi="Arial" w:cs="Arial"/>
          <w:sz w:val="20"/>
          <w:szCs w:val="20"/>
        </w:rPr>
        <w:t xml:space="preserve">Intenzita kampaně bude řízena podle standardních indikátorů: prázdniny podzimní, jarní, Vánoce, letní prázdniny, dovolené. Zároveň bude vedena kampaň pro využití služeb v cestovním ruchu i mimo sezónu a v místech, která nejsou </w:t>
      </w:r>
      <w:r w:rsidR="009D0CB8">
        <w:rPr>
          <w:rFonts w:ascii="Arial" w:hAnsi="Arial" w:cs="Arial"/>
          <w:sz w:val="20"/>
          <w:szCs w:val="20"/>
        </w:rPr>
        <w:t>v centru zájmu turistů.</w:t>
      </w:r>
    </w:p>
    <w:tbl>
      <w:tblPr>
        <w:tblW w:w="9052" w:type="dxa"/>
        <w:tblCellMar>
          <w:left w:w="70" w:type="dxa"/>
          <w:right w:w="70" w:type="dxa"/>
        </w:tblCellMar>
        <w:tblLook w:val="04A0" w:firstRow="1" w:lastRow="0" w:firstColumn="1" w:lastColumn="0" w:noHBand="0" w:noVBand="1"/>
      </w:tblPr>
      <w:tblGrid>
        <w:gridCol w:w="2234"/>
        <w:gridCol w:w="706"/>
        <w:gridCol w:w="1153"/>
        <w:gridCol w:w="1465"/>
        <w:gridCol w:w="1521"/>
        <w:gridCol w:w="1973"/>
      </w:tblGrid>
      <w:tr w:rsidR="0017373A" w:rsidRPr="0017373A" w:rsidTr="00A97FB0">
        <w:trPr>
          <w:trHeight w:val="501"/>
          <w:tblHeader/>
        </w:trPr>
        <w:tc>
          <w:tcPr>
            <w:tcW w:w="9052" w:type="dxa"/>
            <w:gridSpan w:val="6"/>
            <w:tcBorders>
              <w:top w:val="single" w:sz="8" w:space="0" w:color="auto"/>
              <w:left w:val="single" w:sz="8" w:space="0" w:color="auto"/>
              <w:bottom w:val="single" w:sz="4" w:space="0" w:color="auto"/>
              <w:right w:val="single" w:sz="8" w:space="0" w:color="000000"/>
            </w:tcBorders>
            <w:shd w:val="clear" w:color="000000" w:fill="8EA9DB"/>
            <w:noWrap/>
            <w:vAlign w:val="center"/>
            <w:hideMark/>
          </w:tcPr>
          <w:p w:rsidR="0017373A" w:rsidRPr="0017373A" w:rsidRDefault="0017373A" w:rsidP="0017373A">
            <w:pPr>
              <w:spacing w:after="0" w:line="240" w:lineRule="auto"/>
              <w:jc w:val="center"/>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xml:space="preserve">PODPORA CESTOVNÍHO RUCHU V ČR - MEDIÁLNÍ KAMPAŇ DOVOLENÁ V ČR </w:t>
            </w:r>
          </w:p>
        </w:tc>
      </w:tr>
      <w:tr w:rsidR="0017373A" w:rsidRPr="0017373A"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ZADAVATEL</w:t>
            </w:r>
          </w:p>
        </w:tc>
        <w:tc>
          <w:tcPr>
            <w:tcW w:w="6817"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7373A" w:rsidRPr="0017373A" w:rsidRDefault="0017373A" w:rsidP="0017373A">
            <w:pPr>
              <w:spacing w:after="0" w:line="240" w:lineRule="auto"/>
              <w:jc w:val="center"/>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MINISTERSTVO PRO MÍSTNÍ ROZVOJ</w:t>
            </w:r>
          </w:p>
        </w:tc>
      </w:tr>
      <w:tr w:rsidR="0017373A" w:rsidRPr="0017373A"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xml:space="preserve">PODKLADY </w:t>
            </w:r>
          </w:p>
        </w:tc>
        <w:tc>
          <w:tcPr>
            <w:tcW w:w="6817" w:type="dxa"/>
            <w:gridSpan w:val="5"/>
            <w:tcBorders>
              <w:top w:val="single" w:sz="4" w:space="0" w:color="auto"/>
              <w:left w:val="nil"/>
              <w:bottom w:val="single" w:sz="4" w:space="0" w:color="auto"/>
              <w:right w:val="single" w:sz="8" w:space="0" w:color="000000"/>
            </w:tcBorders>
            <w:shd w:val="clear" w:color="auto" w:fill="auto"/>
            <w:noWrap/>
            <w:vAlign w:val="bottom"/>
            <w:hideMark/>
          </w:tcPr>
          <w:p w:rsidR="0017373A" w:rsidRPr="0017373A" w:rsidRDefault="0017373A" w:rsidP="0017373A">
            <w:pPr>
              <w:spacing w:after="0" w:line="240" w:lineRule="auto"/>
              <w:jc w:val="center"/>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AGENTURA CZECHTOURISM</w:t>
            </w:r>
          </w:p>
        </w:tc>
      </w:tr>
      <w:tr w:rsidR="00A97FB0" w:rsidRPr="00A97FB0" w:rsidTr="00A97FB0">
        <w:trPr>
          <w:trHeight w:val="295"/>
        </w:trPr>
        <w:tc>
          <w:tcPr>
            <w:tcW w:w="2235" w:type="dxa"/>
            <w:tcBorders>
              <w:top w:val="nil"/>
              <w:left w:val="single" w:sz="8" w:space="0" w:color="auto"/>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706"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p>
        </w:tc>
        <w:tc>
          <w:tcPr>
            <w:tcW w:w="1153"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jc w:val="center"/>
              <w:rPr>
                <w:rFonts w:ascii="Arial" w:eastAsia="Times New Roman" w:hAnsi="Arial" w:cs="Arial"/>
                <w:sz w:val="18"/>
                <w:szCs w:val="18"/>
                <w:lang w:eastAsia="cs-CZ"/>
              </w:rPr>
            </w:pPr>
          </w:p>
        </w:tc>
        <w:tc>
          <w:tcPr>
            <w:tcW w:w="1465"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jc w:val="center"/>
              <w:rPr>
                <w:rFonts w:ascii="Arial" w:eastAsia="Times New Roman" w:hAnsi="Arial" w:cs="Arial"/>
                <w:sz w:val="18"/>
                <w:szCs w:val="18"/>
                <w:lang w:eastAsia="cs-CZ"/>
              </w:rPr>
            </w:pPr>
          </w:p>
        </w:tc>
        <w:tc>
          <w:tcPr>
            <w:tcW w:w="1520"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jc w:val="center"/>
              <w:rPr>
                <w:rFonts w:ascii="Arial" w:eastAsia="Times New Roman" w:hAnsi="Arial" w:cs="Arial"/>
                <w:sz w:val="18"/>
                <w:szCs w:val="18"/>
                <w:lang w:eastAsia="cs-CZ"/>
              </w:rPr>
            </w:pPr>
          </w:p>
        </w:tc>
        <w:tc>
          <w:tcPr>
            <w:tcW w:w="1973" w:type="dxa"/>
            <w:tcBorders>
              <w:top w:val="nil"/>
              <w:left w:val="nil"/>
              <w:bottom w:val="nil"/>
              <w:right w:val="single" w:sz="8" w:space="0" w:color="auto"/>
            </w:tcBorders>
            <w:shd w:val="clear" w:color="auto" w:fill="auto"/>
            <w:noWrap/>
            <w:vAlign w:val="bottom"/>
            <w:hideMark/>
          </w:tcPr>
          <w:p w:rsidR="0017373A" w:rsidRPr="0017373A" w:rsidRDefault="0017373A" w:rsidP="0017373A">
            <w:pPr>
              <w:spacing w:after="0" w:line="240" w:lineRule="auto"/>
              <w:jc w:val="center"/>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r>
      <w:tr w:rsidR="0017373A" w:rsidRPr="00A97FB0" w:rsidTr="00A97FB0">
        <w:trPr>
          <w:trHeight w:val="295"/>
        </w:trPr>
        <w:tc>
          <w:tcPr>
            <w:tcW w:w="2235" w:type="dxa"/>
            <w:tcBorders>
              <w:top w:val="single" w:sz="4" w:space="0" w:color="auto"/>
              <w:left w:val="single" w:sz="8" w:space="0" w:color="auto"/>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TV skupina</w:t>
            </w:r>
          </w:p>
        </w:tc>
        <w:tc>
          <w:tcPr>
            <w:tcW w:w="706"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xml:space="preserve">podíl </w:t>
            </w:r>
          </w:p>
        </w:tc>
        <w:tc>
          <w:tcPr>
            <w:tcW w:w="1153"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formát</w:t>
            </w:r>
          </w:p>
        </w:tc>
        <w:tc>
          <w:tcPr>
            <w:tcW w:w="1465"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GRPs</w:t>
            </w:r>
          </w:p>
        </w:tc>
        <w:tc>
          <w:tcPr>
            <w:tcW w:w="1520"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počet spotů</w:t>
            </w:r>
          </w:p>
        </w:tc>
        <w:tc>
          <w:tcPr>
            <w:tcW w:w="1973" w:type="dxa"/>
            <w:tcBorders>
              <w:top w:val="single" w:sz="4" w:space="0" w:color="auto"/>
              <w:left w:val="nil"/>
              <w:bottom w:val="single" w:sz="4" w:space="0" w:color="auto"/>
              <w:right w:val="single" w:sz="8"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rozpočet</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Nova group</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50%</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5 000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350 000 000,00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Prima group</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43%</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4 300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301 000 000,00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Barrandov group</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35 000 000,00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Óčko group</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1%</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100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xml:space="preserve">ČT </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1%</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100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17373A" w:rsidRPr="00A97FB0" w:rsidTr="00A97FB0">
        <w:trPr>
          <w:trHeight w:val="295"/>
        </w:trPr>
        <w:tc>
          <w:tcPr>
            <w:tcW w:w="2235" w:type="dxa"/>
            <w:tcBorders>
              <w:top w:val="nil"/>
              <w:left w:val="single" w:sz="8" w:space="0" w:color="auto"/>
              <w:bottom w:val="single" w:sz="4" w:space="0" w:color="auto"/>
              <w:right w:val="single" w:sz="4" w:space="0" w:color="auto"/>
            </w:tcBorders>
            <w:shd w:val="clear" w:color="000000" w:fill="D9E1F2"/>
            <w:noWrap/>
            <w:vAlign w:val="bottom"/>
            <w:hideMark/>
          </w:tcPr>
          <w:p w:rsidR="0017373A" w:rsidRPr="0017373A" w:rsidRDefault="0017373A" w:rsidP="00A97FB0">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Celkem</w:t>
            </w:r>
          </w:p>
        </w:tc>
        <w:tc>
          <w:tcPr>
            <w:tcW w:w="706"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A97FB0">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100%</w:t>
            </w:r>
          </w:p>
        </w:tc>
        <w:tc>
          <w:tcPr>
            <w:tcW w:w="1153"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A97FB0">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465"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A97FB0">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520"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A97FB0">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10 000</w:t>
            </w:r>
          </w:p>
        </w:tc>
        <w:tc>
          <w:tcPr>
            <w:tcW w:w="1973" w:type="dxa"/>
            <w:tcBorders>
              <w:top w:val="nil"/>
              <w:left w:val="nil"/>
              <w:bottom w:val="single" w:sz="4" w:space="0" w:color="auto"/>
              <w:right w:val="single" w:sz="8" w:space="0" w:color="auto"/>
            </w:tcBorders>
            <w:shd w:val="clear" w:color="000000" w:fill="D9E1F2"/>
            <w:noWrap/>
            <w:vAlign w:val="bottom"/>
            <w:hideMark/>
          </w:tcPr>
          <w:p w:rsidR="0017373A" w:rsidRPr="0017373A" w:rsidRDefault="0017373A" w:rsidP="00A97FB0">
            <w:pPr>
              <w:spacing w:after="0" w:line="240" w:lineRule="auto"/>
              <w:jc w:val="right"/>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700 000 000,00 Kč</w:t>
            </w:r>
          </w:p>
        </w:tc>
      </w:tr>
      <w:tr w:rsidR="00A97FB0" w:rsidRPr="00A97FB0" w:rsidTr="00A97FB0">
        <w:trPr>
          <w:trHeight w:val="295"/>
        </w:trPr>
        <w:tc>
          <w:tcPr>
            <w:tcW w:w="2235" w:type="dxa"/>
            <w:tcBorders>
              <w:top w:val="nil"/>
              <w:left w:val="single" w:sz="8" w:space="0" w:color="auto"/>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706"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p>
        </w:tc>
        <w:tc>
          <w:tcPr>
            <w:tcW w:w="1153"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465"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520"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973" w:type="dxa"/>
            <w:tcBorders>
              <w:top w:val="nil"/>
              <w:left w:val="nil"/>
              <w:bottom w:val="nil"/>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A97FB0" w:rsidRPr="00A97FB0" w:rsidTr="00A97FB0">
        <w:trPr>
          <w:trHeight w:val="295"/>
        </w:trPr>
        <w:tc>
          <w:tcPr>
            <w:tcW w:w="2235" w:type="dxa"/>
            <w:tcBorders>
              <w:top w:val="nil"/>
              <w:left w:val="single" w:sz="8" w:space="0" w:color="auto"/>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706"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p>
        </w:tc>
        <w:tc>
          <w:tcPr>
            <w:tcW w:w="1153"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465"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520"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973" w:type="dxa"/>
            <w:tcBorders>
              <w:top w:val="nil"/>
              <w:left w:val="nil"/>
              <w:bottom w:val="nil"/>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17373A" w:rsidRPr="00A97FB0" w:rsidTr="00A97FB0">
        <w:trPr>
          <w:trHeight w:val="295"/>
        </w:trPr>
        <w:tc>
          <w:tcPr>
            <w:tcW w:w="2235" w:type="dxa"/>
            <w:tcBorders>
              <w:top w:val="single" w:sz="4" w:space="0" w:color="auto"/>
              <w:left w:val="single" w:sz="8" w:space="0" w:color="auto"/>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Rozhlas</w:t>
            </w:r>
          </w:p>
        </w:tc>
        <w:tc>
          <w:tcPr>
            <w:tcW w:w="706"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153"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xml:space="preserve">formát </w:t>
            </w:r>
          </w:p>
        </w:tc>
        <w:tc>
          <w:tcPr>
            <w:tcW w:w="1465"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cena/spot</w:t>
            </w:r>
          </w:p>
        </w:tc>
        <w:tc>
          <w:tcPr>
            <w:tcW w:w="1520"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počet spotů</w:t>
            </w:r>
          </w:p>
        </w:tc>
        <w:tc>
          <w:tcPr>
            <w:tcW w:w="1973" w:type="dxa"/>
            <w:tcBorders>
              <w:top w:val="single" w:sz="4" w:space="0" w:color="auto"/>
              <w:left w:val="nil"/>
              <w:bottom w:val="single" w:sz="4" w:space="0" w:color="auto"/>
              <w:right w:val="single" w:sz="8"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rozpočet</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Soukromé stanice</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3 900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273 000 000,00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Čro Radiožurnál</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600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42 000 000,00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Čro Dvojka</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sec</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70 000,00 Kč</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500</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35 000 000,00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17373A" w:rsidRPr="00A97FB0" w:rsidTr="00A97FB0">
        <w:trPr>
          <w:trHeight w:val="295"/>
        </w:trPr>
        <w:tc>
          <w:tcPr>
            <w:tcW w:w="2235" w:type="dxa"/>
            <w:tcBorders>
              <w:top w:val="nil"/>
              <w:left w:val="single" w:sz="8" w:space="0" w:color="auto"/>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Celkem</w:t>
            </w:r>
          </w:p>
        </w:tc>
        <w:tc>
          <w:tcPr>
            <w:tcW w:w="706"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153"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465"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520"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973" w:type="dxa"/>
            <w:tcBorders>
              <w:top w:val="nil"/>
              <w:left w:val="nil"/>
              <w:bottom w:val="single" w:sz="4" w:space="0" w:color="auto"/>
              <w:right w:val="single" w:sz="8" w:space="0" w:color="auto"/>
            </w:tcBorders>
            <w:shd w:val="clear" w:color="000000" w:fill="D9E1F2"/>
            <w:noWrap/>
            <w:vAlign w:val="bottom"/>
            <w:hideMark/>
          </w:tcPr>
          <w:p w:rsidR="0017373A" w:rsidRPr="0017373A" w:rsidRDefault="0017373A" w:rsidP="0017373A">
            <w:pPr>
              <w:spacing w:after="0" w:line="240" w:lineRule="auto"/>
              <w:jc w:val="right"/>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350 000 000,00 Kč</w:t>
            </w:r>
          </w:p>
        </w:tc>
      </w:tr>
      <w:tr w:rsidR="00A97FB0" w:rsidRPr="00A97FB0" w:rsidTr="00A97FB0">
        <w:trPr>
          <w:trHeight w:val="295"/>
        </w:trPr>
        <w:tc>
          <w:tcPr>
            <w:tcW w:w="2235" w:type="dxa"/>
            <w:tcBorders>
              <w:top w:val="nil"/>
              <w:left w:val="single" w:sz="8" w:space="0" w:color="auto"/>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706"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p>
        </w:tc>
        <w:tc>
          <w:tcPr>
            <w:tcW w:w="1153"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465"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520"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973" w:type="dxa"/>
            <w:tcBorders>
              <w:top w:val="nil"/>
              <w:left w:val="nil"/>
              <w:bottom w:val="nil"/>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17373A" w:rsidRPr="00A97FB0" w:rsidTr="00A97FB0">
        <w:trPr>
          <w:trHeight w:val="295"/>
        </w:trPr>
        <w:tc>
          <w:tcPr>
            <w:tcW w:w="2235" w:type="dxa"/>
            <w:tcBorders>
              <w:top w:val="single" w:sz="4" w:space="0" w:color="auto"/>
              <w:left w:val="single" w:sz="8" w:space="0" w:color="auto"/>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Inzertní kampaň</w:t>
            </w:r>
          </w:p>
        </w:tc>
        <w:tc>
          <w:tcPr>
            <w:tcW w:w="706"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153"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formát</w:t>
            </w:r>
          </w:p>
        </w:tc>
        <w:tc>
          <w:tcPr>
            <w:tcW w:w="1465"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520"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973" w:type="dxa"/>
            <w:tcBorders>
              <w:top w:val="single" w:sz="4" w:space="0" w:color="auto"/>
              <w:left w:val="nil"/>
              <w:bottom w:val="single" w:sz="4" w:space="0" w:color="auto"/>
              <w:right w:val="single" w:sz="8"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rozpočet</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Deníky a jejich suplementy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celostrana</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6x týdně/deník</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Týdeníky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celostrana</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1x týdně/týdeník</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17373A" w:rsidRPr="00A97FB0" w:rsidTr="00A97FB0">
        <w:trPr>
          <w:trHeight w:val="295"/>
        </w:trPr>
        <w:tc>
          <w:tcPr>
            <w:tcW w:w="2235" w:type="dxa"/>
            <w:tcBorders>
              <w:top w:val="nil"/>
              <w:left w:val="single" w:sz="8" w:space="0" w:color="auto"/>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Celkem</w:t>
            </w:r>
          </w:p>
        </w:tc>
        <w:tc>
          <w:tcPr>
            <w:tcW w:w="706"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000000" w:fill="D9E1F2"/>
            <w:noWrap/>
            <w:vAlign w:val="bottom"/>
            <w:hideMark/>
          </w:tcPr>
          <w:p w:rsidR="0017373A" w:rsidRPr="0017373A" w:rsidRDefault="0017373A" w:rsidP="0017373A">
            <w:pPr>
              <w:spacing w:after="0" w:line="240" w:lineRule="auto"/>
              <w:jc w:val="right"/>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400 000 000,00 Kč</w:t>
            </w:r>
          </w:p>
        </w:tc>
      </w:tr>
      <w:tr w:rsidR="00A97FB0" w:rsidRPr="00A97FB0" w:rsidTr="00A97FB0">
        <w:trPr>
          <w:trHeight w:val="295"/>
        </w:trPr>
        <w:tc>
          <w:tcPr>
            <w:tcW w:w="2235" w:type="dxa"/>
            <w:tcBorders>
              <w:top w:val="nil"/>
              <w:left w:val="single" w:sz="8" w:space="0" w:color="auto"/>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706"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p>
        </w:tc>
        <w:tc>
          <w:tcPr>
            <w:tcW w:w="1153"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465"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520"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973" w:type="dxa"/>
            <w:tcBorders>
              <w:top w:val="nil"/>
              <w:left w:val="nil"/>
              <w:bottom w:val="nil"/>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r>
      <w:tr w:rsidR="0017373A" w:rsidRPr="00A97FB0" w:rsidTr="00A97FB0">
        <w:trPr>
          <w:trHeight w:val="295"/>
        </w:trPr>
        <w:tc>
          <w:tcPr>
            <w:tcW w:w="2235" w:type="dxa"/>
            <w:tcBorders>
              <w:top w:val="single" w:sz="4" w:space="0" w:color="auto"/>
              <w:left w:val="single" w:sz="8" w:space="0" w:color="auto"/>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Online kampaň</w:t>
            </w:r>
          </w:p>
        </w:tc>
        <w:tc>
          <w:tcPr>
            <w:tcW w:w="706"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153"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465"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520"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973" w:type="dxa"/>
            <w:tcBorders>
              <w:top w:val="single" w:sz="4" w:space="0" w:color="auto"/>
              <w:left w:val="nil"/>
              <w:bottom w:val="single" w:sz="4" w:space="0" w:color="auto"/>
              <w:right w:val="single" w:sz="8"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rozpočet</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PR články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Bannerová reklama</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Videoreklama</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17373A" w:rsidRPr="00A97FB0" w:rsidTr="00A97FB0">
        <w:trPr>
          <w:trHeight w:val="295"/>
        </w:trPr>
        <w:tc>
          <w:tcPr>
            <w:tcW w:w="2235" w:type="dxa"/>
            <w:tcBorders>
              <w:top w:val="nil"/>
              <w:left w:val="single" w:sz="8" w:space="0" w:color="auto"/>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Celkem</w:t>
            </w:r>
          </w:p>
        </w:tc>
        <w:tc>
          <w:tcPr>
            <w:tcW w:w="706"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000000" w:fill="D9E1F2"/>
            <w:noWrap/>
            <w:vAlign w:val="bottom"/>
            <w:hideMark/>
          </w:tcPr>
          <w:p w:rsidR="0017373A" w:rsidRPr="0017373A" w:rsidRDefault="0017373A" w:rsidP="0017373A">
            <w:pPr>
              <w:spacing w:after="0" w:line="240" w:lineRule="auto"/>
              <w:jc w:val="right"/>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400 000 000,00 Kč</w:t>
            </w:r>
          </w:p>
        </w:tc>
      </w:tr>
      <w:tr w:rsidR="00A97FB0" w:rsidRPr="00A97FB0" w:rsidTr="00A97FB0">
        <w:trPr>
          <w:trHeight w:val="295"/>
        </w:trPr>
        <w:tc>
          <w:tcPr>
            <w:tcW w:w="2235" w:type="dxa"/>
            <w:tcBorders>
              <w:top w:val="nil"/>
              <w:left w:val="single" w:sz="8" w:space="0" w:color="auto"/>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706"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p>
        </w:tc>
        <w:tc>
          <w:tcPr>
            <w:tcW w:w="1153"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465"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520"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973" w:type="dxa"/>
            <w:tcBorders>
              <w:top w:val="nil"/>
              <w:left w:val="nil"/>
              <w:bottom w:val="nil"/>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r>
      <w:tr w:rsidR="0017373A" w:rsidRPr="00A97FB0" w:rsidTr="00A97FB0">
        <w:trPr>
          <w:trHeight w:val="560"/>
        </w:trPr>
        <w:tc>
          <w:tcPr>
            <w:tcW w:w="2235" w:type="dxa"/>
            <w:tcBorders>
              <w:top w:val="single" w:sz="4" w:space="0" w:color="auto"/>
              <w:left w:val="single" w:sz="8" w:space="0" w:color="auto"/>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Venkovní reklama</w:t>
            </w:r>
          </w:p>
        </w:tc>
        <w:tc>
          <w:tcPr>
            <w:tcW w:w="706"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153"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465" w:type="dxa"/>
            <w:tcBorders>
              <w:top w:val="single" w:sz="4" w:space="0" w:color="auto"/>
              <w:left w:val="nil"/>
              <w:bottom w:val="single" w:sz="4" w:space="0" w:color="auto"/>
              <w:right w:val="single" w:sz="4" w:space="0" w:color="auto"/>
            </w:tcBorders>
            <w:shd w:val="clear" w:color="000000" w:fill="B4C6E7"/>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POČET PLOCH /měsíc</w:t>
            </w:r>
          </w:p>
        </w:tc>
        <w:tc>
          <w:tcPr>
            <w:tcW w:w="1520" w:type="dxa"/>
            <w:tcBorders>
              <w:top w:val="single" w:sz="4" w:space="0" w:color="auto"/>
              <w:left w:val="nil"/>
              <w:bottom w:val="single" w:sz="4" w:space="0" w:color="auto"/>
              <w:right w:val="single" w:sz="4" w:space="0" w:color="auto"/>
            </w:tcBorders>
            <w:shd w:val="clear" w:color="000000" w:fill="B4C6E7"/>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cena pronájmu/měsíc</w:t>
            </w:r>
          </w:p>
        </w:tc>
        <w:tc>
          <w:tcPr>
            <w:tcW w:w="1973" w:type="dxa"/>
            <w:tcBorders>
              <w:top w:val="single" w:sz="4" w:space="0" w:color="auto"/>
              <w:left w:val="nil"/>
              <w:bottom w:val="single" w:sz="4" w:space="0" w:color="auto"/>
              <w:right w:val="single" w:sz="8"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rozpočet</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Duble bigboardy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5 - 10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105 000,00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9 000 000,00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Bigboardy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30 - 50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52 900,00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25 000 000,00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Smartboardy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20 - 40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22 500,00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9 400 000,00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Billboardy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200 - 500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7 000,00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22 000 000,00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Variopostery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80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5 900,00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Led obrazovky</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7</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63 380,00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4 700 000,00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CLV - města</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50 - 80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6 750,00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4 500 000,00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CLV - nádraží</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30 - 50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5 450,00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2 400 000,00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CLV - pražské metro</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30 - 50</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12 250,00 Kč</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8 000 000,00 Kč</w:t>
            </w:r>
          </w:p>
        </w:tc>
      </w:tr>
      <w:tr w:rsidR="00A97FB0" w:rsidRPr="00A97FB0" w:rsidTr="00A97FB0">
        <w:trPr>
          <w:trHeight w:val="295"/>
        </w:trPr>
        <w:tc>
          <w:tcPr>
            <w:tcW w:w="2235" w:type="dxa"/>
            <w:tcBorders>
              <w:top w:val="nil"/>
              <w:left w:val="single" w:sz="8" w:space="0" w:color="auto"/>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TISK, GRAFIKA</w:t>
            </w:r>
          </w:p>
        </w:tc>
        <w:tc>
          <w:tcPr>
            <w:tcW w:w="706"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auto" w:fill="auto"/>
            <w:noWrap/>
            <w:vAlign w:val="bottom"/>
            <w:hideMark/>
          </w:tcPr>
          <w:p w:rsidR="0017373A" w:rsidRPr="0017373A" w:rsidRDefault="0017373A" w:rsidP="0017373A">
            <w:pPr>
              <w:spacing w:after="0" w:line="240" w:lineRule="auto"/>
              <w:jc w:val="right"/>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60 000 000,00 Kč</w:t>
            </w:r>
          </w:p>
        </w:tc>
      </w:tr>
      <w:tr w:rsidR="0017373A" w:rsidRPr="00A97FB0" w:rsidTr="00A97FB0">
        <w:trPr>
          <w:trHeight w:val="295"/>
        </w:trPr>
        <w:tc>
          <w:tcPr>
            <w:tcW w:w="2235" w:type="dxa"/>
            <w:tcBorders>
              <w:top w:val="nil"/>
              <w:left w:val="single" w:sz="8" w:space="0" w:color="auto"/>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Celkem</w:t>
            </w:r>
          </w:p>
        </w:tc>
        <w:tc>
          <w:tcPr>
            <w:tcW w:w="706"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153"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465"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520" w:type="dxa"/>
            <w:tcBorders>
              <w:top w:val="nil"/>
              <w:left w:val="nil"/>
              <w:bottom w:val="single" w:sz="4" w:space="0" w:color="auto"/>
              <w:right w:val="single" w:sz="4" w:space="0" w:color="auto"/>
            </w:tcBorders>
            <w:shd w:val="clear" w:color="000000" w:fill="D9E1F2"/>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1973" w:type="dxa"/>
            <w:tcBorders>
              <w:top w:val="nil"/>
              <w:left w:val="nil"/>
              <w:bottom w:val="single" w:sz="4" w:space="0" w:color="auto"/>
              <w:right w:val="single" w:sz="8" w:space="0" w:color="auto"/>
            </w:tcBorders>
            <w:shd w:val="clear" w:color="000000" w:fill="D9E1F2"/>
            <w:noWrap/>
            <w:vAlign w:val="bottom"/>
            <w:hideMark/>
          </w:tcPr>
          <w:p w:rsidR="0017373A" w:rsidRPr="0017373A" w:rsidRDefault="0017373A" w:rsidP="0017373A">
            <w:pPr>
              <w:spacing w:after="0" w:line="240" w:lineRule="auto"/>
              <w:jc w:val="right"/>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150 000 000,00 Kč</w:t>
            </w:r>
          </w:p>
        </w:tc>
      </w:tr>
      <w:tr w:rsidR="00A97FB0" w:rsidRPr="00A97FB0" w:rsidTr="00A97FB0">
        <w:trPr>
          <w:trHeight w:val="295"/>
        </w:trPr>
        <w:tc>
          <w:tcPr>
            <w:tcW w:w="2235" w:type="dxa"/>
            <w:tcBorders>
              <w:top w:val="nil"/>
              <w:left w:val="single" w:sz="8" w:space="0" w:color="auto"/>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c>
          <w:tcPr>
            <w:tcW w:w="706"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p>
        </w:tc>
        <w:tc>
          <w:tcPr>
            <w:tcW w:w="1153"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465"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520" w:type="dxa"/>
            <w:tcBorders>
              <w:top w:val="nil"/>
              <w:left w:val="nil"/>
              <w:bottom w:val="nil"/>
              <w:right w:val="nil"/>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sz w:val="18"/>
                <w:szCs w:val="18"/>
                <w:lang w:eastAsia="cs-CZ"/>
              </w:rPr>
            </w:pPr>
          </w:p>
        </w:tc>
        <w:tc>
          <w:tcPr>
            <w:tcW w:w="1973" w:type="dxa"/>
            <w:tcBorders>
              <w:top w:val="nil"/>
              <w:left w:val="nil"/>
              <w:bottom w:val="nil"/>
              <w:right w:val="single" w:sz="8" w:space="0" w:color="auto"/>
            </w:tcBorders>
            <w:shd w:val="clear" w:color="auto" w:fill="auto"/>
            <w:noWrap/>
            <w:vAlign w:val="bottom"/>
            <w:hideMark/>
          </w:tcPr>
          <w:p w:rsidR="0017373A" w:rsidRPr="0017373A" w:rsidRDefault="0017373A" w:rsidP="0017373A">
            <w:pPr>
              <w:spacing w:after="0" w:line="240" w:lineRule="auto"/>
              <w:rPr>
                <w:rFonts w:ascii="Arial" w:eastAsia="Times New Roman" w:hAnsi="Arial" w:cs="Arial"/>
                <w:color w:val="000000"/>
                <w:sz w:val="18"/>
                <w:szCs w:val="18"/>
                <w:lang w:eastAsia="cs-CZ"/>
              </w:rPr>
            </w:pPr>
            <w:r w:rsidRPr="0017373A">
              <w:rPr>
                <w:rFonts w:ascii="Arial" w:eastAsia="Times New Roman" w:hAnsi="Arial" w:cs="Arial"/>
                <w:color w:val="000000"/>
                <w:sz w:val="18"/>
                <w:szCs w:val="18"/>
                <w:lang w:eastAsia="cs-CZ"/>
              </w:rPr>
              <w:t> </w:t>
            </w:r>
          </w:p>
        </w:tc>
      </w:tr>
      <w:tr w:rsidR="0017373A" w:rsidRPr="00A97FB0" w:rsidTr="00A97FB0">
        <w:trPr>
          <w:trHeight w:val="309"/>
        </w:trPr>
        <w:tc>
          <w:tcPr>
            <w:tcW w:w="2235" w:type="dxa"/>
            <w:tcBorders>
              <w:top w:val="single" w:sz="4" w:space="0" w:color="auto"/>
              <w:left w:val="single" w:sz="8" w:space="0" w:color="auto"/>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CELKEM</w:t>
            </w:r>
          </w:p>
        </w:tc>
        <w:tc>
          <w:tcPr>
            <w:tcW w:w="706"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153"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465"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520" w:type="dxa"/>
            <w:tcBorders>
              <w:top w:val="single" w:sz="4" w:space="0" w:color="auto"/>
              <w:left w:val="nil"/>
              <w:bottom w:val="single" w:sz="4" w:space="0" w:color="auto"/>
              <w:right w:val="single" w:sz="4" w:space="0" w:color="auto"/>
            </w:tcBorders>
            <w:shd w:val="clear" w:color="000000" w:fill="B4C6E7"/>
            <w:noWrap/>
            <w:vAlign w:val="bottom"/>
            <w:hideMark/>
          </w:tcPr>
          <w:p w:rsidR="0017373A" w:rsidRPr="0017373A" w:rsidRDefault="0017373A" w:rsidP="0017373A">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w:t>
            </w:r>
          </w:p>
        </w:tc>
        <w:tc>
          <w:tcPr>
            <w:tcW w:w="1973" w:type="dxa"/>
            <w:tcBorders>
              <w:top w:val="single" w:sz="4" w:space="0" w:color="auto"/>
              <w:left w:val="nil"/>
              <w:bottom w:val="single" w:sz="4" w:space="0" w:color="auto"/>
              <w:right w:val="single" w:sz="8" w:space="0" w:color="auto"/>
            </w:tcBorders>
            <w:shd w:val="clear" w:color="000000" w:fill="B4C6E7"/>
            <w:noWrap/>
            <w:vAlign w:val="bottom"/>
            <w:hideMark/>
          </w:tcPr>
          <w:p w:rsidR="0017373A" w:rsidRPr="0017373A" w:rsidRDefault="0017373A" w:rsidP="00A97FB0">
            <w:pPr>
              <w:spacing w:after="0" w:line="240" w:lineRule="auto"/>
              <w:rPr>
                <w:rFonts w:ascii="Arial" w:eastAsia="Times New Roman" w:hAnsi="Arial" w:cs="Arial"/>
                <w:b/>
                <w:bCs/>
                <w:color w:val="000000"/>
                <w:sz w:val="18"/>
                <w:szCs w:val="18"/>
                <w:lang w:eastAsia="cs-CZ"/>
              </w:rPr>
            </w:pPr>
            <w:r w:rsidRPr="0017373A">
              <w:rPr>
                <w:rFonts w:ascii="Arial" w:eastAsia="Times New Roman" w:hAnsi="Arial" w:cs="Arial"/>
                <w:b/>
                <w:bCs/>
                <w:color w:val="000000"/>
                <w:sz w:val="18"/>
                <w:szCs w:val="18"/>
                <w:lang w:eastAsia="cs-CZ"/>
              </w:rPr>
              <w:t xml:space="preserve">2 000 000 000,00 </w:t>
            </w:r>
            <w:r w:rsidR="00A97FB0">
              <w:rPr>
                <w:rFonts w:ascii="Arial" w:eastAsia="Times New Roman" w:hAnsi="Arial" w:cs="Arial"/>
                <w:b/>
                <w:bCs/>
                <w:color w:val="000000"/>
                <w:sz w:val="18"/>
                <w:szCs w:val="18"/>
                <w:lang w:eastAsia="cs-CZ"/>
              </w:rPr>
              <w:t>K</w:t>
            </w:r>
            <w:r w:rsidRPr="0017373A">
              <w:rPr>
                <w:rFonts w:ascii="Arial" w:eastAsia="Times New Roman" w:hAnsi="Arial" w:cs="Arial"/>
                <w:b/>
                <w:bCs/>
                <w:color w:val="000000"/>
                <w:sz w:val="18"/>
                <w:szCs w:val="18"/>
                <w:lang w:eastAsia="cs-CZ"/>
              </w:rPr>
              <w:t>č</w:t>
            </w:r>
          </w:p>
        </w:tc>
      </w:tr>
    </w:tbl>
    <w:p w:rsidR="00A97FB0" w:rsidRDefault="00A97FB0" w:rsidP="00A97FB0">
      <w:pPr>
        <w:pStyle w:val="Nadpis2"/>
        <w:numPr>
          <w:ilvl w:val="0"/>
          <w:numId w:val="0"/>
        </w:numPr>
        <w:spacing w:after="240"/>
        <w:ind w:left="720" w:hanging="360"/>
      </w:pPr>
    </w:p>
    <w:p w:rsidR="000775F2" w:rsidRDefault="00E85E4E" w:rsidP="00724F2D">
      <w:pPr>
        <w:pStyle w:val="Nadpis2"/>
        <w:spacing w:after="240"/>
      </w:pPr>
      <w:bookmarkStart w:id="5" w:name="_Toc46302062"/>
      <w:r>
        <w:t>Závěr</w:t>
      </w:r>
      <w:bookmarkEnd w:id="5"/>
    </w:p>
    <w:p w:rsidR="00000172" w:rsidRPr="00000172" w:rsidRDefault="00724F2D" w:rsidP="00000172">
      <w:pPr>
        <w:jc w:val="both"/>
        <w:rPr>
          <w:rFonts w:ascii="Arial" w:hAnsi="Arial" w:cs="Arial"/>
          <w:sz w:val="20"/>
          <w:szCs w:val="20"/>
        </w:rPr>
      </w:pPr>
      <w:r>
        <w:rPr>
          <w:rFonts w:ascii="Arial" w:hAnsi="Arial" w:cs="Arial"/>
          <w:sz w:val="20"/>
          <w:szCs w:val="20"/>
        </w:rPr>
        <w:t xml:space="preserve">Propagace </w:t>
      </w:r>
      <w:r w:rsidR="009A7CF1">
        <w:rPr>
          <w:rFonts w:ascii="Arial" w:hAnsi="Arial" w:cs="Arial"/>
          <w:sz w:val="20"/>
          <w:szCs w:val="20"/>
        </w:rPr>
        <w:t xml:space="preserve">míst </w:t>
      </w:r>
      <w:r>
        <w:rPr>
          <w:rFonts w:ascii="Arial" w:hAnsi="Arial" w:cs="Arial"/>
          <w:sz w:val="20"/>
          <w:szCs w:val="20"/>
        </w:rPr>
        <w:t xml:space="preserve">České republiky a možností turismu </w:t>
      </w:r>
      <w:r w:rsidR="00000172" w:rsidRPr="00000172">
        <w:rPr>
          <w:rFonts w:ascii="Arial" w:hAnsi="Arial" w:cs="Arial"/>
          <w:sz w:val="20"/>
          <w:szCs w:val="20"/>
        </w:rPr>
        <w:t>představuje významnou motivaci k účasti na cestovním ruchu v ČR. Pokles poptávk</w:t>
      </w:r>
      <w:r w:rsidR="00000172">
        <w:rPr>
          <w:rFonts w:ascii="Arial" w:hAnsi="Arial" w:cs="Arial"/>
          <w:sz w:val="20"/>
          <w:szCs w:val="20"/>
        </w:rPr>
        <w:t xml:space="preserve">y po službách cestovního ruchu může vést až k omezení nabídky </w:t>
      </w:r>
      <w:r w:rsidR="00000172" w:rsidRPr="00000172">
        <w:rPr>
          <w:rFonts w:ascii="Arial" w:hAnsi="Arial" w:cs="Arial"/>
          <w:sz w:val="20"/>
          <w:szCs w:val="20"/>
        </w:rPr>
        <w:t xml:space="preserve">služeb </w:t>
      </w:r>
      <w:r w:rsidR="00000172">
        <w:rPr>
          <w:rFonts w:ascii="Arial" w:hAnsi="Arial" w:cs="Arial"/>
          <w:sz w:val="20"/>
          <w:szCs w:val="20"/>
        </w:rPr>
        <w:t xml:space="preserve">v cestovním ruchu s dopadem do navýšení nezaměstnanosti. </w:t>
      </w:r>
      <w:r w:rsidR="00000172" w:rsidRPr="00000172">
        <w:rPr>
          <w:rFonts w:ascii="Arial" w:hAnsi="Arial" w:cs="Arial"/>
          <w:sz w:val="20"/>
          <w:szCs w:val="20"/>
        </w:rPr>
        <w:t>(uzaví</w:t>
      </w:r>
      <w:r w:rsidR="00000172">
        <w:rPr>
          <w:rFonts w:ascii="Arial" w:hAnsi="Arial" w:cs="Arial"/>
          <w:sz w:val="20"/>
          <w:szCs w:val="20"/>
        </w:rPr>
        <w:t>rání</w:t>
      </w:r>
      <w:r w:rsidR="00000172" w:rsidRPr="00000172">
        <w:rPr>
          <w:rFonts w:ascii="Arial" w:hAnsi="Arial" w:cs="Arial"/>
          <w:sz w:val="20"/>
          <w:szCs w:val="20"/>
        </w:rPr>
        <w:t xml:space="preserve"> zaříze</w:t>
      </w:r>
      <w:r w:rsidR="00000172">
        <w:rPr>
          <w:rFonts w:ascii="Arial" w:hAnsi="Arial" w:cs="Arial"/>
          <w:sz w:val="20"/>
          <w:szCs w:val="20"/>
        </w:rPr>
        <w:t xml:space="preserve">ní, propouštění personálu). Tento jev bude mít </w:t>
      </w:r>
      <w:r w:rsidR="00000172" w:rsidRPr="00000172">
        <w:rPr>
          <w:rFonts w:ascii="Arial" w:hAnsi="Arial" w:cs="Arial"/>
          <w:sz w:val="20"/>
          <w:szCs w:val="20"/>
        </w:rPr>
        <w:t xml:space="preserve">negativní dopad na regiony ČR, rezidenty z pohledu omezení nabídky služeb poskytovaných v regionu, ale i </w:t>
      </w:r>
      <w:r w:rsidR="00000172">
        <w:rPr>
          <w:rFonts w:ascii="Arial" w:hAnsi="Arial" w:cs="Arial"/>
          <w:sz w:val="20"/>
          <w:szCs w:val="20"/>
        </w:rPr>
        <w:t>na kvalitu života občanů ČR.</w:t>
      </w:r>
      <w:r w:rsidR="00000172" w:rsidRPr="00000172">
        <w:rPr>
          <w:rFonts w:ascii="Arial" w:hAnsi="Arial" w:cs="Arial"/>
          <w:sz w:val="20"/>
          <w:szCs w:val="20"/>
        </w:rPr>
        <w:t xml:space="preserve"> </w:t>
      </w:r>
    </w:p>
    <w:p w:rsidR="00000172" w:rsidRPr="00000172" w:rsidRDefault="00000172" w:rsidP="00000172">
      <w:pPr>
        <w:jc w:val="both"/>
        <w:rPr>
          <w:rFonts w:ascii="Arial" w:hAnsi="Arial" w:cs="Arial"/>
          <w:sz w:val="20"/>
          <w:szCs w:val="20"/>
        </w:rPr>
      </w:pPr>
      <w:r w:rsidRPr="00000172">
        <w:rPr>
          <w:rFonts w:ascii="Arial" w:hAnsi="Arial" w:cs="Arial"/>
          <w:sz w:val="20"/>
          <w:szCs w:val="20"/>
        </w:rPr>
        <w:t xml:space="preserve">Podpora poptávky po službách </w:t>
      </w:r>
      <w:r>
        <w:rPr>
          <w:rFonts w:ascii="Arial" w:hAnsi="Arial" w:cs="Arial"/>
          <w:sz w:val="20"/>
          <w:szCs w:val="20"/>
        </w:rPr>
        <w:t>v cestovním</w:t>
      </w:r>
      <w:r w:rsidRPr="00000172">
        <w:rPr>
          <w:rFonts w:ascii="Arial" w:hAnsi="Arial" w:cs="Arial"/>
          <w:sz w:val="20"/>
          <w:szCs w:val="20"/>
        </w:rPr>
        <w:t xml:space="preserve"> ruchu významně přispěje k udržení stávajícího rozsahu a kvality poskytovaných služeb a udržení zaměstnanosti v oblasti </w:t>
      </w:r>
      <w:r>
        <w:rPr>
          <w:rFonts w:ascii="Arial" w:hAnsi="Arial" w:cs="Arial"/>
          <w:sz w:val="20"/>
          <w:szCs w:val="20"/>
        </w:rPr>
        <w:t>cestovního ruchu.</w:t>
      </w:r>
      <w:r w:rsidRPr="00000172">
        <w:rPr>
          <w:rFonts w:ascii="Arial" w:hAnsi="Arial" w:cs="Arial"/>
          <w:sz w:val="20"/>
          <w:szCs w:val="20"/>
        </w:rPr>
        <w:t xml:space="preserve"> A dále též k udržení nabídky služeb a životní úrovně místních obyvatel. Rozhodnutí o výběru </w:t>
      </w:r>
      <w:r>
        <w:rPr>
          <w:rFonts w:ascii="Arial" w:hAnsi="Arial" w:cs="Arial"/>
          <w:sz w:val="20"/>
          <w:szCs w:val="20"/>
        </w:rPr>
        <w:t xml:space="preserve">místa a formy podpory turismu v Čechách </w:t>
      </w:r>
      <w:r w:rsidRPr="00000172">
        <w:rPr>
          <w:rFonts w:ascii="Arial" w:hAnsi="Arial" w:cs="Arial"/>
          <w:sz w:val="20"/>
          <w:szCs w:val="20"/>
        </w:rPr>
        <w:t xml:space="preserve">je ponecháno na konečném spotřebiteli, tak budou zachovány principy trhu, bude probíhat soutěž mezi </w:t>
      </w:r>
      <w:r>
        <w:rPr>
          <w:rFonts w:ascii="Arial" w:hAnsi="Arial" w:cs="Arial"/>
          <w:sz w:val="20"/>
          <w:szCs w:val="20"/>
        </w:rPr>
        <w:t>poskytovateli služeb v cestovním ruchu. Aktivním zapojením médií do tvorby nabídky kvalitních produktů zaměřených na propagaci České republiky, bude zajištěna vysoká kvalita projektů.</w:t>
      </w:r>
    </w:p>
    <w:p w:rsidR="00000172" w:rsidRPr="00000172" w:rsidRDefault="00000172" w:rsidP="00000172">
      <w:pPr>
        <w:jc w:val="both"/>
        <w:rPr>
          <w:rFonts w:ascii="Arial" w:hAnsi="Arial" w:cs="Arial"/>
          <w:sz w:val="20"/>
          <w:szCs w:val="20"/>
        </w:rPr>
      </w:pPr>
      <w:r w:rsidRPr="00000172">
        <w:rPr>
          <w:rFonts w:ascii="Arial" w:hAnsi="Arial" w:cs="Arial"/>
          <w:sz w:val="20"/>
          <w:szCs w:val="20"/>
        </w:rPr>
        <w:t xml:space="preserve">S ohledem na multiplikační charakter cestovního ruchu se v několikaletém horizontu předpokládá návratnost dané aktivity prostřednictvím daňových a nedaňových příjmů veřejných rozpočtů. </w:t>
      </w:r>
    </w:p>
    <w:p w:rsidR="00E85E4E" w:rsidRPr="00E85E4E" w:rsidRDefault="00E85E4E" w:rsidP="00E85E4E"/>
    <w:sectPr w:rsidR="00E85E4E" w:rsidRPr="00E85E4E" w:rsidSect="0067208A">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93F" w:rsidRDefault="00E1093F" w:rsidP="00E1093F">
      <w:pPr>
        <w:spacing w:after="0" w:line="240" w:lineRule="auto"/>
      </w:pPr>
      <w:r>
        <w:separator/>
      </w:r>
    </w:p>
  </w:endnote>
  <w:endnote w:type="continuationSeparator" w:id="0">
    <w:p w:rsidR="00E1093F" w:rsidRDefault="00E1093F" w:rsidP="00E109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851870"/>
      <w:docPartObj>
        <w:docPartGallery w:val="Page Numbers (Bottom of Page)"/>
        <w:docPartUnique/>
      </w:docPartObj>
    </w:sdtPr>
    <w:sdtEndPr/>
    <w:sdtContent>
      <w:p w:rsidR="00E1093F" w:rsidRDefault="00E1093F">
        <w:pPr>
          <w:pStyle w:val="Zpat"/>
        </w:pPr>
        <w:r>
          <w:fldChar w:fldCharType="begin"/>
        </w:r>
        <w:r>
          <w:instrText>PAGE   \* MERGEFORMAT</w:instrText>
        </w:r>
        <w:r>
          <w:fldChar w:fldCharType="separate"/>
        </w:r>
        <w:r w:rsidR="00E668AA">
          <w:rPr>
            <w:noProof/>
          </w:rPr>
          <w:t>2</w:t>
        </w:r>
        <w:r>
          <w:fldChar w:fldCharType="end"/>
        </w:r>
      </w:p>
    </w:sdtContent>
  </w:sdt>
  <w:p w:rsidR="00E1093F" w:rsidRDefault="00E1093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93F" w:rsidRDefault="00E1093F" w:rsidP="00E1093F">
      <w:pPr>
        <w:spacing w:after="0" w:line="240" w:lineRule="auto"/>
      </w:pPr>
      <w:r>
        <w:separator/>
      </w:r>
    </w:p>
  </w:footnote>
  <w:footnote w:type="continuationSeparator" w:id="0">
    <w:p w:rsidR="00E1093F" w:rsidRDefault="00E1093F" w:rsidP="00E109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F2D" w:rsidRDefault="00724F2D">
    <w:pPr>
      <w:pStyle w:val="Zhlav"/>
    </w:pPr>
    <w:r>
      <w:t>III.</w:t>
    </w:r>
  </w:p>
  <w:p w:rsidR="00724F2D" w:rsidRDefault="00724F2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0FEE"/>
    <w:multiLevelType w:val="hybridMultilevel"/>
    <w:tmpl w:val="6A80370C"/>
    <w:lvl w:ilvl="0" w:tplc="39A4967A">
      <w:start w:val="1"/>
      <w:numFmt w:val="upperLetter"/>
      <w:pStyle w:val="Nadpis3"/>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336DD1"/>
    <w:multiLevelType w:val="hybridMultilevel"/>
    <w:tmpl w:val="51769BD2"/>
    <w:lvl w:ilvl="0" w:tplc="4A52B14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6C44EC"/>
    <w:multiLevelType w:val="hybridMultilevel"/>
    <w:tmpl w:val="46C69D32"/>
    <w:lvl w:ilvl="0" w:tplc="18E8F714">
      <w:start w:val="1"/>
      <w:numFmt w:val="decimal"/>
      <w:pStyle w:val="Nadpis2"/>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4F2096"/>
    <w:multiLevelType w:val="hybridMultilevel"/>
    <w:tmpl w:val="952A0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9A71A3A"/>
    <w:multiLevelType w:val="hybridMultilevel"/>
    <w:tmpl w:val="D7F09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BBC6626"/>
    <w:multiLevelType w:val="hybridMultilevel"/>
    <w:tmpl w:val="FEBC14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0AE00CA"/>
    <w:multiLevelType w:val="hybridMultilevel"/>
    <w:tmpl w:val="D1F40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5F2"/>
    <w:rsid w:val="00000172"/>
    <w:rsid w:val="00034E4E"/>
    <w:rsid w:val="000775F2"/>
    <w:rsid w:val="0017373A"/>
    <w:rsid w:val="004B5752"/>
    <w:rsid w:val="0057779F"/>
    <w:rsid w:val="00581EB6"/>
    <w:rsid w:val="005D712B"/>
    <w:rsid w:val="0061375A"/>
    <w:rsid w:val="0067208A"/>
    <w:rsid w:val="006A2E97"/>
    <w:rsid w:val="00724F2D"/>
    <w:rsid w:val="00766FDD"/>
    <w:rsid w:val="00796E9B"/>
    <w:rsid w:val="009A7CF1"/>
    <w:rsid w:val="009D0CB8"/>
    <w:rsid w:val="00A66CD5"/>
    <w:rsid w:val="00A95725"/>
    <w:rsid w:val="00A97FB0"/>
    <w:rsid w:val="00B2033B"/>
    <w:rsid w:val="00C26DA0"/>
    <w:rsid w:val="00DC78D0"/>
    <w:rsid w:val="00E03A33"/>
    <w:rsid w:val="00E1093F"/>
    <w:rsid w:val="00E32C74"/>
    <w:rsid w:val="00E668AA"/>
    <w:rsid w:val="00E85E4E"/>
    <w:rsid w:val="00ED233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EE23AC-DC42-494D-B18E-D2BEF696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61375A"/>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Nadpis2">
    <w:name w:val="heading 2"/>
    <w:basedOn w:val="Normln"/>
    <w:next w:val="Normln"/>
    <w:link w:val="Nadpis2Char"/>
    <w:uiPriority w:val="9"/>
    <w:unhideWhenUsed/>
    <w:qFormat/>
    <w:rsid w:val="004B5752"/>
    <w:pPr>
      <w:keepNext/>
      <w:keepLines/>
      <w:numPr>
        <w:numId w:val="5"/>
      </w:numPr>
      <w:spacing w:before="40" w:after="0"/>
      <w:outlineLvl w:val="1"/>
    </w:pPr>
    <w:rPr>
      <w:rFonts w:asciiTheme="majorHAnsi" w:eastAsiaTheme="majorEastAsia" w:hAnsiTheme="majorHAnsi" w:cstheme="majorBidi"/>
      <w:b/>
      <w:color w:val="2E74B5" w:themeColor="accent1" w:themeShade="BF"/>
      <w:sz w:val="26"/>
      <w:szCs w:val="26"/>
    </w:rPr>
  </w:style>
  <w:style w:type="paragraph" w:styleId="Nadpis3">
    <w:name w:val="heading 3"/>
    <w:basedOn w:val="Normln"/>
    <w:next w:val="Normln"/>
    <w:link w:val="Nadpis3Char"/>
    <w:uiPriority w:val="9"/>
    <w:unhideWhenUsed/>
    <w:qFormat/>
    <w:rsid w:val="004B5752"/>
    <w:pPr>
      <w:keepNext/>
      <w:keepLines/>
      <w:numPr>
        <w:numId w:val="7"/>
      </w:numPr>
      <w:spacing w:before="40" w:after="0"/>
      <w:outlineLvl w:val="2"/>
    </w:pPr>
    <w:rPr>
      <w:rFonts w:asciiTheme="majorHAnsi" w:eastAsiaTheme="majorEastAsia" w:hAnsiTheme="majorHAnsi" w:cstheme="majorBidi"/>
      <w:b/>
      <w: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B5752"/>
    <w:rPr>
      <w:rFonts w:asciiTheme="majorHAnsi" w:eastAsiaTheme="majorEastAsia" w:hAnsiTheme="majorHAnsi" w:cstheme="majorBidi"/>
      <w:b/>
      <w:color w:val="2E74B5" w:themeColor="accent1" w:themeShade="BF"/>
      <w:sz w:val="26"/>
      <w:szCs w:val="26"/>
    </w:rPr>
  </w:style>
  <w:style w:type="paragraph" w:styleId="Odstavecseseznamem">
    <w:name w:val="List Paragraph"/>
    <w:basedOn w:val="Normln"/>
    <w:uiPriority w:val="34"/>
    <w:qFormat/>
    <w:rsid w:val="000775F2"/>
    <w:pPr>
      <w:ind w:left="720"/>
      <w:contextualSpacing/>
    </w:pPr>
  </w:style>
  <w:style w:type="character" w:customStyle="1" w:styleId="Nadpis3Char">
    <w:name w:val="Nadpis 3 Char"/>
    <w:basedOn w:val="Standardnpsmoodstavce"/>
    <w:link w:val="Nadpis3"/>
    <w:uiPriority w:val="9"/>
    <w:rsid w:val="004B5752"/>
    <w:rPr>
      <w:rFonts w:asciiTheme="majorHAnsi" w:eastAsiaTheme="majorEastAsia" w:hAnsiTheme="majorHAnsi" w:cstheme="majorBidi"/>
      <w:b/>
      <w:i/>
      <w:color w:val="1F4D78" w:themeColor="accent1" w:themeShade="7F"/>
      <w:sz w:val="24"/>
      <w:szCs w:val="24"/>
    </w:rPr>
  </w:style>
  <w:style w:type="character" w:customStyle="1" w:styleId="Nadpis1Char">
    <w:name w:val="Nadpis 1 Char"/>
    <w:basedOn w:val="Standardnpsmoodstavce"/>
    <w:link w:val="Nadpis1"/>
    <w:uiPriority w:val="9"/>
    <w:rsid w:val="0061375A"/>
    <w:rPr>
      <w:rFonts w:asciiTheme="majorHAnsi" w:eastAsiaTheme="majorEastAsia" w:hAnsiTheme="majorHAnsi" w:cstheme="majorBidi"/>
      <w:b/>
      <w:color w:val="2E74B5" w:themeColor="accent1" w:themeShade="BF"/>
      <w:sz w:val="32"/>
      <w:szCs w:val="32"/>
    </w:rPr>
  </w:style>
  <w:style w:type="paragraph" w:styleId="Nadpisobsahu">
    <w:name w:val="TOC Heading"/>
    <w:basedOn w:val="Nadpis1"/>
    <w:next w:val="Normln"/>
    <w:uiPriority w:val="39"/>
    <w:unhideWhenUsed/>
    <w:qFormat/>
    <w:rsid w:val="0061375A"/>
    <w:pPr>
      <w:outlineLvl w:val="9"/>
    </w:pPr>
    <w:rPr>
      <w:b w:val="0"/>
      <w:lang w:eastAsia="cs-CZ"/>
    </w:rPr>
  </w:style>
  <w:style w:type="paragraph" w:styleId="Obsah1">
    <w:name w:val="toc 1"/>
    <w:basedOn w:val="Normln"/>
    <w:next w:val="Normln"/>
    <w:autoRedefine/>
    <w:uiPriority w:val="39"/>
    <w:unhideWhenUsed/>
    <w:rsid w:val="0061375A"/>
    <w:pPr>
      <w:spacing w:after="100"/>
    </w:pPr>
  </w:style>
  <w:style w:type="paragraph" w:styleId="Obsah2">
    <w:name w:val="toc 2"/>
    <w:basedOn w:val="Normln"/>
    <w:next w:val="Normln"/>
    <w:autoRedefine/>
    <w:uiPriority w:val="39"/>
    <w:unhideWhenUsed/>
    <w:rsid w:val="0061375A"/>
    <w:pPr>
      <w:spacing w:after="100"/>
      <w:ind w:left="220"/>
    </w:pPr>
  </w:style>
  <w:style w:type="paragraph" w:styleId="Obsah3">
    <w:name w:val="toc 3"/>
    <w:basedOn w:val="Normln"/>
    <w:next w:val="Normln"/>
    <w:autoRedefine/>
    <w:uiPriority w:val="39"/>
    <w:unhideWhenUsed/>
    <w:rsid w:val="0061375A"/>
    <w:pPr>
      <w:spacing w:after="100"/>
      <w:ind w:left="440"/>
    </w:pPr>
  </w:style>
  <w:style w:type="character" w:styleId="Hypertextovodkaz">
    <w:name w:val="Hyperlink"/>
    <w:basedOn w:val="Standardnpsmoodstavce"/>
    <w:uiPriority w:val="99"/>
    <w:unhideWhenUsed/>
    <w:rsid w:val="0061375A"/>
    <w:rPr>
      <w:color w:val="0563C1" w:themeColor="hyperlink"/>
      <w:u w:val="single"/>
    </w:rPr>
  </w:style>
  <w:style w:type="paragraph" w:styleId="Zhlav">
    <w:name w:val="header"/>
    <w:basedOn w:val="Normln"/>
    <w:link w:val="ZhlavChar"/>
    <w:uiPriority w:val="99"/>
    <w:unhideWhenUsed/>
    <w:rsid w:val="00E1093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1093F"/>
  </w:style>
  <w:style w:type="paragraph" w:styleId="Zpat">
    <w:name w:val="footer"/>
    <w:basedOn w:val="Normln"/>
    <w:link w:val="ZpatChar"/>
    <w:uiPriority w:val="99"/>
    <w:unhideWhenUsed/>
    <w:rsid w:val="00E1093F"/>
    <w:pPr>
      <w:tabs>
        <w:tab w:val="center" w:pos="4536"/>
        <w:tab w:val="right" w:pos="9072"/>
      </w:tabs>
      <w:spacing w:after="0" w:line="240" w:lineRule="auto"/>
    </w:pPr>
  </w:style>
  <w:style w:type="character" w:customStyle="1" w:styleId="ZpatChar">
    <w:name w:val="Zápatí Char"/>
    <w:basedOn w:val="Standardnpsmoodstavce"/>
    <w:link w:val="Zpat"/>
    <w:uiPriority w:val="99"/>
    <w:rsid w:val="00E1093F"/>
  </w:style>
  <w:style w:type="paragraph" w:styleId="Textbubliny">
    <w:name w:val="Balloon Text"/>
    <w:basedOn w:val="Normln"/>
    <w:link w:val="TextbublinyChar"/>
    <w:uiPriority w:val="99"/>
    <w:semiHidden/>
    <w:unhideWhenUsed/>
    <w:rsid w:val="005D712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D71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22599">
      <w:bodyDiv w:val="1"/>
      <w:marLeft w:val="0"/>
      <w:marRight w:val="0"/>
      <w:marTop w:val="0"/>
      <w:marBottom w:val="0"/>
      <w:divBdr>
        <w:top w:val="none" w:sz="0" w:space="0" w:color="auto"/>
        <w:left w:val="none" w:sz="0" w:space="0" w:color="auto"/>
        <w:bottom w:val="none" w:sz="0" w:space="0" w:color="auto"/>
        <w:right w:val="none" w:sz="0" w:space="0" w:color="auto"/>
      </w:divBdr>
    </w:div>
    <w:div w:id="403718577">
      <w:bodyDiv w:val="1"/>
      <w:marLeft w:val="0"/>
      <w:marRight w:val="0"/>
      <w:marTop w:val="0"/>
      <w:marBottom w:val="0"/>
      <w:divBdr>
        <w:top w:val="none" w:sz="0" w:space="0" w:color="auto"/>
        <w:left w:val="none" w:sz="0" w:space="0" w:color="auto"/>
        <w:bottom w:val="none" w:sz="0" w:space="0" w:color="auto"/>
        <w:right w:val="none" w:sz="0" w:space="0" w:color="auto"/>
      </w:divBdr>
    </w:div>
    <w:div w:id="59448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48FBE-7D90-4210-ADD6-A40C52A1E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2269</Words>
  <Characters>13389</Characters>
  <Application>Microsoft Office Word</Application>
  <DocSecurity>4</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Outlá Radmila</dc:creator>
  <cp:keywords/>
  <dc:description/>
  <cp:lastModifiedBy>Kuželová Venuše</cp:lastModifiedBy>
  <cp:revision>2</cp:revision>
  <cp:lastPrinted>2020-07-22T07:27:00Z</cp:lastPrinted>
  <dcterms:created xsi:type="dcterms:W3CDTF">2020-07-22T09:59:00Z</dcterms:created>
  <dcterms:modified xsi:type="dcterms:W3CDTF">2020-07-22T09:59:00Z</dcterms:modified>
</cp:coreProperties>
</file>