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515355316" w:displacedByCustomXml="next"/>
    <w:sdt>
      <w:sdtPr>
        <w:id w:val="-646664385"/>
        <w:docPartObj>
          <w:docPartGallery w:val="Cover Pages"/>
          <w:docPartUnique/>
        </w:docPartObj>
      </w:sdtPr>
      <w:sdtEndPr/>
      <w:sdtContent>
        <w:p w:rsidR="00643B92" w:rsidRDefault="00643B92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555"/>
          </w:tblGrid>
          <w:tr w:rsidR="00643B92">
            <w:sdt>
              <w:sdtPr>
                <w:rPr>
                  <w:color w:val="365F91" w:themeColor="accent1" w:themeShade="BF"/>
                  <w:sz w:val="24"/>
                  <w:szCs w:val="24"/>
                </w:rPr>
                <w:alias w:val="Společnost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643B92" w:rsidRDefault="00643B92" w:rsidP="00643B92">
                    <w:pPr>
                      <w:pStyle w:val="NoSpacing"/>
                      <w:rPr>
                        <w:color w:val="365F91" w:themeColor="accent1" w:themeShade="BF"/>
                        <w:sz w:val="24"/>
                      </w:rPr>
                    </w:pPr>
                    <w:r>
                      <w:rPr>
                        <w:color w:val="365F91" w:themeColor="accent1" w:themeShade="BF"/>
                        <w:sz w:val="24"/>
                        <w:szCs w:val="24"/>
                      </w:rPr>
                      <w:t>Ministerstvo pro místní rozvoj</w:t>
                    </w:r>
                  </w:p>
                </w:tc>
              </w:sdtContent>
            </w:sdt>
          </w:tr>
          <w:tr w:rsidR="00643B92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pacing w:val="-10"/>
                    <w:kern w:val="28"/>
                    <w:sz w:val="56"/>
                    <w:szCs w:val="56"/>
                  </w:rPr>
                  <w:alias w:val="Název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643B92" w:rsidRDefault="00643B92">
                    <w:pPr>
                      <w:pStyle w:val="NoSpacing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</w:pPr>
                    <w:r w:rsidRPr="00643B92">
                      <w:rPr>
                        <w:rFonts w:asciiTheme="majorHAnsi" w:eastAsiaTheme="majorEastAsia" w:hAnsiTheme="majorHAnsi" w:cstheme="majorBidi"/>
                        <w:spacing w:val="-10"/>
                        <w:kern w:val="28"/>
                        <w:sz w:val="56"/>
                        <w:szCs w:val="56"/>
                      </w:rPr>
                      <w:t>Aktualizace akčního plánu plnění Strategie elektronizace zadávání veřejných zakázek 2016-2020</w:t>
                    </w:r>
                  </w:p>
                </w:sdtContent>
              </w:sdt>
            </w:tc>
          </w:tr>
          <w:tr w:rsidR="00643B92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643B92" w:rsidRDefault="00643B92">
                <w:pPr>
                  <w:pStyle w:val="NoSpacing"/>
                  <w:rPr>
                    <w:color w:val="365F91" w:themeColor="accent1" w:themeShade="BF"/>
                    <w:sz w:val="24"/>
                  </w:rPr>
                </w:pPr>
              </w:p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285"/>
          </w:tblGrid>
          <w:tr w:rsidR="00643B92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  <w:sz w:val="28"/>
                    <w:szCs w:val="28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643B92" w:rsidRDefault="00643B92">
                    <w:pPr>
                      <w:pStyle w:val="NoSpacing"/>
                      <w:rPr>
                        <w:color w:val="4F81BD" w:themeColor="accent1"/>
                        <w:sz w:val="28"/>
                        <w:szCs w:val="28"/>
                      </w:rPr>
                    </w:pPr>
                    <w:r>
                      <w:rPr>
                        <w:color w:val="4F81BD" w:themeColor="accent1"/>
                        <w:sz w:val="28"/>
                        <w:szCs w:val="28"/>
                      </w:rPr>
                      <w:t>Odbor elektronizace veřejných zakázek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28"/>
                    <w:szCs w:val="28"/>
                  </w:rPr>
                  <w:alias w:val="Datum"/>
                  <w:tag w:val="Datum"/>
                  <w:id w:val="13406932"/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.M.yyyy"/>
                    <w:lid w:val="cs-CZ"/>
                    <w:storeMappedDataAs w:val="dateTime"/>
                    <w:calendar w:val="gregorian"/>
                  </w:date>
                </w:sdtPr>
                <w:sdtEndPr/>
                <w:sdtContent>
                  <w:p w:rsidR="00643B92" w:rsidRDefault="00643B92">
                    <w:pPr>
                      <w:pStyle w:val="NoSpacing"/>
                      <w:rPr>
                        <w:color w:val="4F81BD" w:themeColor="accent1"/>
                        <w:sz w:val="28"/>
                        <w:szCs w:val="28"/>
                      </w:rPr>
                    </w:pPr>
                    <w:r>
                      <w:rPr>
                        <w:color w:val="4F81BD" w:themeColor="accent1"/>
                        <w:sz w:val="28"/>
                        <w:szCs w:val="28"/>
                      </w:rPr>
                      <w:t>[Datum]</w:t>
                    </w:r>
                  </w:p>
                </w:sdtContent>
              </w:sdt>
              <w:p w:rsidR="00643B92" w:rsidRDefault="00643B92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643B92" w:rsidRDefault="003153B8" w:rsidP="003153B8">
          <w:pPr>
            <w:tabs>
              <w:tab w:val="left" w:pos="3817"/>
            </w:tabs>
            <w:jc w:val="right"/>
            <w:rPr>
              <w:rFonts w:asciiTheme="majorHAnsi" w:eastAsiaTheme="majorEastAsia" w:hAnsiTheme="majorHAnsi" w:cstheme="majorBidi"/>
              <w:spacing w:val="-10"/>
              <w:kern w:val="28"/>
              <w:sz w:val="56"/>
              <w:szCs w:val="56"/>
            </w:rPr>
          </w:pPr>
          <w:r w:rsidRPr="003153B8">
            <w:rPr>
              <w:b/>
              <w:sz w:val="32"/>
              <w:szCs w:val="32"/>
            </w:rPr>
            <w:t>III.</w:t>
          </w:r>
          <w:r w:rsidR="00643B92">
            <w:br w:type="page"/>
          </w:r>
          <w:r>
            <w:lastRenderedPageBreak/>
            <w:tab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4517750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43B92" w:rsidRDefault="00643B92">
          <w:pPr>
            <w:pStyle w:val="TOCHeading"/>
          </w:pPr>
          <w:r>
            <w:t>Obsah</w:t>
          </w:r>
        </w:p>
        <w:p w:rsidR="00C0413E" w:rsidRDefault="00BF7176">
          <w:pPr>
            <w:pStyle w:val="TOC1"/>
            <w:tabs>
              <w:tab w:val="left" w:pos="440"/>
            </w:tabs>
            <w:rPr>
              <w:rFonts w:eastAsiaTheme="minorEastAsia"/>
              <w:noProof/>
              <w:lang w:eastAsia="cs-CZ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"1-1" \h \z \u </w:instrText>
          </w:r>
          <w:r>
            <w:rPr>
              <w:b/>
              <w:bCs/>
            </w:rPr>
            <w:fldChar w:fldCharType="separate"/>
          </w:r>
          <w:hyperlink w:anchor="_Toc530127682" w:history="1">
            <w:r w:rsidR="00C0413E" w:rsidRPr="00E12844">
              <w:rPr>
                <w:rStyle w:val="Hyperlink"/>
                <w:rFonts w:eastAsia="Times New Roman"/>
                <w:noProof/>
              </w:rPr>
              <w:t>1.</w:t>
            </w:r>
            <w:r w:rsidR="00C0413E">
              <w:rPr>
                <w:rFonts w:eastAsiaTheme="minorEastAsia"/>
                <w:noProof/>
                <w:lang w:eastAsia="cs-CZ"/>
              </w:rPr>
              <w:tab/>
            </w:r>
            <w:r w:rsidR="00C0413E" w:rsidRPr="00E12844">
              <w:rPr>
                <w:rStyle w:val="Hyperlink"/>
                <w:rFonts w:eastAsia="Times New Roman"/>
                <w:noProof/>
              </w:rPr>
              <w:t>Manažerské shrnutí</w:t>
            </w:r>
            <w:r w:rsidR="00C0413E">
              <w:rPr>
                <w:noProof/>
                <w:webHidden/>
              </w:rPr>
              <w:tab/>
            </w:r>
            <w:r w:rsidR="00C0413E">
              <w:rPr>
                <w:noProof/>
                <w:webHidden/>
              </w:rPr>
              <w:fldChar w:fldCharType="begin"/>
            </w:r>
            <w:r w:rsidR="00C0413E">
              <w:rPr>
                <w:noProof/>
                <w:webHidden/>
              </w:rPr>
              <w:instrText xml:space="preserve"> PAGEREF _Toc530127682 \h </w:instrText>
            </w:r>
            <w:r w:rsidR="00C0413E">
              <w:rPr>
                <w:noProof/>
                <w:webHidden/>
              </w:rPr>
            </w:r>
            <w:r w:rsidR="00C0413E">
              <w:rPr>
                <w:noProof/>
                <w:webHidden/>
              </w:rPr>
              <w:fldChar w:fldCharType="separate"/>
            </w:r>
            <w:r w:rsidR="00C0413E">
              <w:rPr>
                <w:noProof/>
                <w:webHidden/>
              </w:rPr>
              <w:t>2</w:t>
            </w:r>
            <w:r w:rsidR="00C0413E">
              <w:rPr>
                <w:noProof/>
                <w:webHidden/>
              </w:rPr>
              <w:fldChar w:fldCharType="end"/>
            </w:r>
          </w:hyperlink>
        </w:p>
        <w:p w:rsidR="00C0413E" w:rsidRDefault="00A9049A">
          <w:pPr>
            <w:pStyle w:val="TOC1"/>
            <w:tabs>
              <w:tab w:val="left" w:pos="440"/>
            </w:tabs>
            <w:rPr>
              <w:rFonts w:eastAsiaTheme="minorEastAsia"/>
              <w:noProof/>
              <w:lang w:eastAsia="cs-CZ"/>
            </w:rPr>
          </w:pPr>
          <w:hyperlink w:anchor="_Toc530127683" w:history="1">
            <w:r w:rsidR="00C0413E" w:rsidRPr="00E12844">
              <w:rPr>
                <w:rStyle w:val="Hyperlink"/>
                <w:noProof/>
              </w:rPr>
              <w:t>2.</w:t>
            </w:r>
            <w:r w:rsidR="00C0413E">
              <w:rPr>
                <w:rFonts w:eastAsiaTheme="minorEastAsia"/>
                <w:noProof/>
                <w:lang w:eastAsia="cs-CZ"/>
              </w:rPr>
              <w:tab/>
            </w:r>
            <w:r w:rsidR="00C0413E" w:rsidRPr="00E12844">
              <w:rPr>
                <w:rStyle w:val="Hyperlink"/>
                <w:noProof/>
              </w:rPr>
              <w:t>Aktualizovaný akční plán Strategie elektronizace veřejných zakázek pro období 2016-2020</w:t>
            </w:r>
            <w:r w:rsidR="00C0413E">
              <w:rPr>
                <w:noProof/>
                <w:webHidden/>
              </w:rPr>
              <w:tab/>
            </w:r>
            <w:r w:rsidR="00C0413E">
              <w:rPr>
                <w:noProof/>
                <w:webHidden/>
              </w:rPr>
              <w:fldChar w:fldCharType="begin"/>
            </w:r>
            <w:r w:rsidR="00C0413E">
              <w:rPr>
                <w:noProof/>
                <w:webHidden/>
              </w:rPr>
              <w:instrText xml:space="preserve"> PAGEREF _Toc530127683 \h </w:instrText>
            </w:r>
            <w:r w:rsidR="00C0413E">
              <w:rPr>
                <w:noProof/>
                <w:webHidden/>
              </w:rPr>
            </w:r>
            <w:r w:rsidR="00C0413E">
              <w:rPr>
                <w:noProof/>
                <w:webHidden/>
              </w:rPr>
              <w:fldChar w:fldCharType="separate"/>
            </w:r>
            <w:r w:rsidR="00C0413E">
              <w:rPr>
                <w:noProof/>
                <w:webHidden/>
              </w:rPr>
              <w:t>4</w:t>
            </w:r>
            <w:r w:rsidR="00C0413E">
              <w:rPr>
                <w:noProof/>
                <w:webHidden/>
              </w:rPr>
              <w:fldChar w:fldCharType="end"/>
            </w:r>
          </w:hyperlink>
        </w:p>
        <w:p w:rsidR="00C0413E" w:rsidRDefault="00A9049A">
          <w:pPr>
            <w:pStyle w:val="TOC1"/>
            <w:rPr>
              <w:rFonts w:eastAsiaTheme="minorEastAsia"/>
              <w:noProof/>
              <w:lang w:eastAsia="cs-CZ"/>
            </w:rPr>
          </w:pPr>
          <w:hyperlink w:anchor="_Toc530127684" w:history="1">
            <w:r w:rsidR="00C0413E" w:rsidRPr="00E12844">
              <w:rPr>
                <w:rStyle w:val="Hyperlink"/>
                <w:noProof/>
              </w:rPr>
              <w:t>Příloha č. 1 – vstupy do aktualizace akčního plánu strategie elektronizace</w:t>
            </w:r>
            <w:r w:rsidR="00C0413E">
              <w:rPr>
                <w:noProof/>
                <w:webHidden/>
              </w:rPr>
              <w:tab/>
            </w:r>
            <w:r w:rsidR="00C0413E">
              <w:rPr>
                <w:noProof/>
                <w:webHidden/>
              </w:rPr>
              <w:fldChar w:fldCharType="begin"/>
            </w:r>
            <w:r w:rsidR="00C0413E">
              <w:rPr>
                <w:noProof/>
                <w:webHidden/>
              </w:rPr>
              <w:instrText xml:space="preserve"> PAGEREF _Toc530127684 \h </w:instrText>
            </w:r>
            <w:r w:rsidR="00C0413E">
              <w:rPr>
                <w:noProof/>
                <w:webHidden/>
              </w:rPr>
            </w:r>
            <w:r w:rsidR="00C0413E">
              <w:rPr>
                <w:noProof/>
                <w:webHidden/>
              </w:rPr>
              <w:fldChar w:fldCharType="separate"/>
            </w:r>
            <w:r w:rsidR="00C0413E">
              <w:rPr>
                <w:noProof/>
                <w:webHidden/>
              </w:rPr>
              <w:t>8</w:t>
            </w:r>
            <w:r w:rsidR="00C0413E">
              <w:rPr>
                <w:noProof/>
                <w:webHidden/>
              </w:rPr>
              <w:fldChar w:fldCharType="end"/>
            </w:r>
          </w:hyperlink>
        </w:p>
        <w:p w:rsidR="00C0413E" w:rsidRDefault="00A9049A">
          <w:pPr>
            <w:pStyle w:val="TOC1"/>
            <w:rPr>
              <w:rFonts w:eastAsiaTheme="minorEastAsia"/>
              <w:noProof/>
              <w:lang w:eastAsia="cs-CZ"/>
            </w:rPr>
          </w:pPr>
          <w:hyperlink w:anchor="_Toc530127685" w:history="1">
            <w:r w:rsidR="00C0413E" w:rsidRPr="00E12844">
              <w:rPr>
                <w:rStyle w:val="Hyperlink"/>
                <w:noProof/>
              </w:rPr>
              <w:t>Příloha č. 2 - Otevřené body stávajícího stavu z pohledu Strategie elektronizace veřejných zakázek</w:t>
            </w:r>
            <w:r w:rsidR="00C0413E">
              <w:rPr>
                <w:noProof/>
                <w:webHidden/>
              </w:rPr>
              <w:tab/>
            </w:r>
            <w:r w:rsidR="00C0413E">
              <w:rPr>
                <w:noProof/>
                <w:webHidden/>
              </w:rPr>
              <w:fldChar w:fldCharType="begin"/>
            </w:r>
            <w:r w:rsidR="00C0413E">
              <w:rPr>
                <w:noProof/>
                <w:webHidden/>
              </w:rPr>
              <w:instrText xml:space="preserve"> PAGEREF _Toc530127685 \h </w:instrText>
            </w:r>
            <w:r w:rsidR="00C0413E">
              <w:rPr>
                <w:noProof/>
                <w:webHidden/>
              </w:rPr>
            </w:r>
            <w:r w:rsidR="00C0413E">
              <w:rPr>
                <w:noProof/>
                <w:webHidden/>
              </w:rPr>
              <w:fldChar w:fldCharType="separate"/>
            </w:r>
            <w:r w:rsidR="00C0413E">
              <w:rPr>
                <w:noProof/>
                <w:webHidden/>
              </w:rPr>
              <w:t>15</w:t>
            </w:r>
            <w:r w:rsidR="00C0413E">
              <w:rPr>
                <w:noProof/>
                <w:webHidden/>
              </w:rPr>
              <w:fldChar w:fldCharType="end"/>
            </w:r>
          </w:hyperlink>
        </w:p>
        <w:p w:rsidR="00C0413E" w:rsidRDefault="00A9049A">
          <w:pPr>
            <w:pStyle w:val="TOC1"/>
            <w:rPr>
              <w:rFonts w:eastAsiaTheme="minorEastAsia"/>
              <w:noProof/>
              <w:lang w:eastAsia="cs-CZ"/>
            </w:rPr>
          </w:pPr>
          <w:hyperlink w:anchor="_Toc530127686" w:history="1">
            <w:r w:rsidR="00C0413E" w:rsidRPr="00E12844">
              <w:rPr>
                <w:rStyle w:val="Hyperlink"/>
                <w:noProof/>
              </w:rPr>
              <w:t>Příloha č. 3 - Navázání seznamu opatření na otevřené body</w:t>
            </w:r>
            <w:r w:rsidR="00C0413E">
              <w:rPr>
                <w:noProof/>
                <w:webHidden/>
              </w:rPr>
              <w:tab/>
            </w:r>
            <w:r w:rsidR="00C0413E">
              <w:rPr>
                <w:noProof/>
                <w:webHidden/>
              </w:rPr>
              <w:fldChar w:fldCharType="begin"/>
            </w:r>
            <w:r w:rsidR="00C0413E">
              <w:rPr>
                <w:noProof/>
                <w:webHidden/>
              </w:rPr>
              <w:instrText xml:space="preserve"> PAGEREF _Toc530127686 \h </w:instrText>
            </w:r>
            <w:r w:rsidR="00C0413E">
              <w:rPr>
                <w:noProof/>
                <w:webHidden/>
              </w:rPr>
            </w:r>
            <w:r w:rsidR="00C0413E">
              <w:rPr>
                <w:noProof/>
                <w:webHidden/>
              </w:rPr>
              <w:fldChar w:fldCharType="separate"/>
            </w:r>
            <w:r w:rsidR="00C0413E">
              <w:rPr>
                <w:noProof/>
                <w:webHidden/>
              </w:rPr>
              <w:t>17</w:t>
            </w:r>
            <w:r w:rsidR="00C0413E">
              <w:rPr>
                <w:noProof/>
                <w:webHidden/>
              </w:rPr>
              <w:fldChar w:fldCharType="end"/>
            </w:r>
          </w:hyperlink>
        </w:p>
        <w:p w:rsidR="00C0413E" w:rsidRDefault="00A9049A">
          <w:pPr>
            <w:pStyle w:val="TOC1"/>
            <w:rPr>
              <w:rFonts w:eastAsiaTheme="minorEastAsia"/>
              <w:noProof/>
              <w:lang w:eastAsia="cs-CZ"/>
            </w:rPr>
          </w:pPr>
          <w:hyperlink w:anchor="_Toc530127687" w:history="1">
            <w:r w:rsidR="00C0413E" w:rsidRPr="00E12844">
              <w:rPr>
                <w:rStyle w:val="Hyperlink"/>
                <w:noProof/>
              </w:rPr>
              <w:t>Příloha č. 4 - Projekt NIPEZ 2.0</w:t>
            </w:r>
            <w:r w:rsidR="00C0413E">
              <w:rPr>
                <w:noProof/>
                <w:webHidden/>
              </w:rPr>
              <w:tab/>
            </w:r>
            <w:r w:rsidR="00C0413E">
              <w:rPr>
                <w:noProof/>
                <w:webHidden/>
              </w:rPr>
              <w:fldChar w:fldCharType="begin"/>
            </w:r>
            <w:r w:rsidR="00C0413E">
              <w:rPr>
                <w:noProof/>
                <w:webHidden/>
              </w:rPr>
              <w:instrText xml:space="preserve"> PAGEREF _Toc530127687 \h </w:instrText>
            </w:r>
            <w:r w:rsidR="00C0413E">
              <w:rPr>
                <w:noProof/>
                <w:webHidden/>
              </w:rPr>
            </w:r>
            <w:r w:rsidR="00C0413E">
              <w:rPr>
                <w:noProof/>
                <w:webHidden/>
              </w:rPr>
              <w:fldChar w:fldCharType="separate"/>
            </w:r>
            <w:r w:rsidR="00C0413E">
              <w:rPr>
                <w:noProof/>
                <w:webHidden/>
              </w:rPr>
              <w:t>19</w:t>
            </w:r>
            <w:r w:rsidR="00C0413E">
              <w:rPr>
                <w:noProof/>
                <w:webHidden/>
              </w:rPr>
              <w:fldChar w:fldCharType="end"/>
            </w:r>
          </w:hyperlink>
        </w:p>
        <w:p w:rsidR="00643B92" w:rsidRDefault="00BF7176">
          <w:r>
            <w:rPr>
              <w:b/>
              <w:bCs/>
            </w:rPr>
            <w:fldChar w:fldCharType="end"/>
          </w:r>
        </w:p>
      </w:sdtContent>
    </w:sdt>
    <w:p w:rsidR="00FE3827" w:rsidRDefault="0043379C" w:rsidP="00C04CE4">
      <w:pPr>
        <w:pStyle w:val="Heading1"/>
        <w:pageBreakBefore/>
        <w:numPr>
          <w:ilvl w:val="0"/>
          <w:numId w:val="9"/>
        </w:numPr>
        <w:rPr>
          <w:rFonts w:eastAsia="Times New Roman"/>
        </w:rPr>
      </w:pPr>
      <w:bookmarkStart w:id="1" w:name="_Toc530127682"/>
      <w:r>
        <w:rPr>
          <w:rFonts w:eastAsia="Times New Roman"/>
        </w:rPr>
        <w:lastRenderedPageBreak/>
        <w:t>Manažerské shrnutí</w:t>
      </w:r>
      <w:bookmarkEnd w:id="1"/>
    </w:p>
    <w:p w:rsidR="00FE3827" w:rsidRPr="00E404C5" w:rsidRDefault="00FE3827" w:rsidP="00C00483">
      <w:pPr>
        <w:jc w:val="both"/>
        <w:rPr>
          <w:rFonts w:cstheme="minorHAnsi"/>
        </w:rPr>
      </w:pPr>
      <w:r w:rsidRPr="00E404C5">
        <w:rPr>
          <w:rFonts w:cstheme="minorHAnsi"/>
        </w:rPr>
        <w:t>Předkládaný materiál byl připraven v návaznosti na úkol z </w:t>
      </w:r>
      <w:r w:rsidR="001C27B5">
        <w:rPr>
          <w:rFonts w:cstheme="minorHAnsi"/>
        </w:rPr>
        <w:t>u</w:t>
      </w:r>
      <w:r w:rsidRPr="00E404C5">
        <w:rPr>
          <w:rFonts w:cstheme="minorHAnsi"/>
        </w:rPr>
        <w:t xml:space="preserve">snesení </w:t>
      </w:r>
      <w:r w:rsidR="001C27B5">
        <w:rPr>
          <w:rFonts w:cstheme="minorHAnsi"/>
        </w:rPr>
        <w:t>v</w:t>
      </w:r>
      <w:r w:rsidRPr="00E404C5">
        <w:rPr>
          <w:rFonts w:cstheme="minorHAnsi"/>
        </w:rPr>
        <w:t>lády č. 408/2018 o povinném využívání NEN, který v bodě V. b) ukládá ministryni pro místní rozvoj „</w:t>
      </w:r>
      <w:r w:rsidRPr="00E404C5">
        <w:rPr>
          <w:rFonts w:cstheme="minorHAnsi"/>
          <w:i/>
        </w:rPr>
        <w:t>připravit ve spolupráci s Řídící skupinou pro elektronizaci veřejných zakázek návrh aktualizace akčního plánu plnění Strategie elektronizace zadávání veřejných zakázek 2016-2020 a předložit jej vládě do 31. prosince 2018</w:t>
      </w:r>
      <w:r w:rsidRPr="00E404C5">
        <w:rPr>
          <w:rFonts w:cstheme="minorHAnsi"/>
        </w:rPr>
        <w:t>“.</w:t>
      </w:r>
    </w:p>
    <w:p w:rsidR="007500E6" w:rsidRDefault="00CA179C" w:rsidP="00C00483">
      <w:pPr>
        <w:jc w:val="both"/>
        <w:rPr>
          <w:rFonts w:cstheme="minorHAnsi"/>
        </w:rPr>
      </w:pPr>
      <w:bookmarkStart w:id="2" w:name="_GoBack"/>
      <w:r>
        <w:rPr>
          <w:rFonts w:cstheme="minorHAnsi"/>
        </w:rPr>
        <w:t>Vize uvedená</w:t>
      </w:r>
      <w:r w:rsidR="007500E6">
        <w:rPr>
          <w:rFonts w:cstheme="minorHAnsi"/>
        </w:rPr>
        <w:t xml:space="preserve"> ve Strategii elektronizace veřejných</w:t>
      </w:r>
      <w:r>
        <w:rPr>
          <w:rFonts w:cstheme="minorHAnsi"/>
        </w:rPr>
        <w:t xml:space="preserve"> zakázek pro období 2016-2020</w:t>
      </w:r>
      <w:r w:rsidR="007500E6">
        <w:rPr>
          <w:rFonts w:cstheme="minorHAnsi"/>
        </w:rPr>
        <w:t>:</w:t>
      </w:r>
    </w:p>
    <w:p w:rsidR="007500E6" w:rsidRPr="007500E6" w:rsidRDefault="007500E6" w:rsidP="00C00483">
      <w:pPr>
        <w:jc w:val="both"/>
        <w:rPr>
          <w:rFonts w:cstheme="minorHAnsi"/>
          <w:b/>
        </w:rPr>
      </w:pPr>
      <w:r>
        <w:rPr>
          <w:b/>
        </w:rPr>
        <w:t>„</w:t>
      </w:r>
      <w:r w:rsidRPr="007500E6">
        <w:rPr>
          <w:b/>
        </w:rPr>
        <w:t>Česká republika zajistí realizací Strategie elektronizace zadávání veřejných zakázek pro období let 2016 až 2020 vytvoření prostředí, které umožní existenci efektivního a transparentního trhu veřejných zakázek v České republice, založeného na elektronické komunikaci, kterou zavádí nová evropská zadávací legislativa a jež bude zároveň splňovat nejpřísnější pravidla pro kybernetickou bezpečnost při vysoké míře míry transparentnosti procesu zadávání veřejných zakázek.</w:t>
      </w:r>
      <w:r>
        <w:rPr>
          <w:b/>
        </w:rPr>
        <w:t>“</w:t>
      </w:r>
    </w:p>
    <w:p w:rsidR="007500E6" w:rsidRDefault="007500E6" w:rsidP="00C00483">
      <w:pPr>
        <w:jc w:val="both"/>
        <w:rPr>
          <w:rFonts w:cstheme="minorHAnsi"/>
        </w:rPr>
      </w:pPr>
      <w:r>
        <w:rPr>
          <w:rFonts w:cstheme="minorHAnsi"/>
        </w:rPr>
        <w:t>Výše uvedené vize se má dosáhnout prostřednictvím následujících cílů:</w:t>
      </w:r>
    </w:p>
    <w:p w:rsidR="007500E6" w:rsidRPr="007500E6" w:rsidRDefault="007500E6" w:rsidP="00C04CE4">
      <w:pPr>
        <w:pStyle w:val="ListParagraph"/>
        <w:numPr>
          <w:ilvl w:val="0"/>
          <w:numId w:val="15"/>
        </w:numPr>
        <w:jc w:val="both"/>
        <w:rPr>
          <w:rFonts w:cstheme="minorHAnsi"/>
          <w:b/>
        </w:rPr>
      </w:pPr>
      <w:r w:rsidRPr="007500E6">
        <w:rPr>
          <w:rFonts w:cstheme="minorHAnsi"/>
          <w:b/>
        </w:rPr>
        <w:t>Optimalizace fungování NIPEZ</w:t>
      </w:r>
    </w:p>
    <w:p w:rsidR="007500E6" w:rsidRPr="007500E6" w:rsidRDefault="007500E6" w:rsidP="00C04CE4">
      <w:pPr>
        <w:pStyle w:val="ListParagraph"/>
        <w:numPr>
          <w:ilvl w:val="0"/>
          <w:numId w:val="15"/>
        </w:numPr>
        <w:jc w:val="both"/>
        <w:rPr>
          <w:rFonts w:cstheme="minorHAnsi"/>
          <w:b/>
        </w:rPr>
      </w:pPr>
      <w:r w:rsidRPr="007500E6">
        <w:rPr>
          <w:rFonts w:cstheme="minorHAnsi"/>
          <w:b/>
        </w:rPr>
        <w:t>Podpora elektronizace zadávání veřejných zakázek</w:t>
      </w:r>
    </w:p>
    <w:p w:rsidR="007500E6" w:rsidRDefault="007500E6" w:rsidP="00C04CE4">
      <w:pPr>
        <w:pStyle w:val="ListParagraph"/>
        <w:numPr>
          <w:ilvl w:val="0"/>
          <w:numId w:val="15"/>
        </w:numPr>
        <w:jc w:val="both"/>
        <w:rPr>
          <w:rFonts w:cstheme="minorHAnsi"/>
          <w:b/>
        </w:rPr>
      </w:pPr>
      <w:r w:rsidRPr="007500E6">
        <w:rPr>
          <w:rFonts w:cstheme="minorHAnsi"/>
          <w:b/>
        </w:rPr>
        <w:t>Implementace opatření související s elektronizací veřejných zakázek</w:t>
      </w:r>
    </w:p>
    <w:bookmarkEnd w:id="2"/>
    <w:p w:rsidR="00CA179C" w:rsidRPr="007500E6" w:rsidRDefault="007500E6" w:rsidP="007500E6">
      <w:pPr>
        <w:jc w:val="both"/>
        <w:rPr>
          <w:rFonts w:cstheme="minorHAnsi"/>
        </w:rPr>
      </w:pPr>
      <w:r w:rsidRPr="007500E6">
        <w:rPr>
          <w:rFonts w:cstheme="minorHAnsi"/>
        </w:rPr>
        <w:t>Každý cíl obsahuje seznam opatření, kterými je plněn.</w:t>
      </w:r>
      <w:r w:rsidR="00CA179C">
        <w:rPr>
          <w:rFonts w:cstheme="minorHAnsi"/>
        </w:rPr>
        <w:t xml:space="preserve"> Následující aktualizace akčního plánu má za cíl aktualizovat seznam opatření, kterými se plní hlavní cíle Strategie.</w:t>
      </w:r>
    </w:p>
    <w:p w:rsidR="00E14540" w:rsidRPr="00E14540" w:rsidRDefault="00393467" w:rsidP="00E14540">
      <w:pPr>
        <w:jc w:val="both"/>
        <w:rPr>
          <w:rFonts w:cstheme="minorHAnsi"/>
        </w:rPr>
      </w:pPr>
      <w:r>
        <w:rPr>
          <w:rFonts w:cstheme="minorHAnsi"/>
        </w:rPr>
        <w:t>Hlavní vstupy</w:t>
      </w:r>
      <w:r w:rsidR="00461112">
        <w:rPr>
          <w:rFonts w:cstheme="minorHAnsi"/>
        </w:rPr>
        <w:t xml:space="preserve"> pro </w:t>
      </w:r>
      <w:r>
        <w:rPr>
          <w:rFonts w:cstheme="minorHAnsi"/>
        </w:rPr>
        <w:t>provedení aktualizace</w:t>
      </w:r>
      <w:r w:rsidR="00357854">
        <w:rPr>
          <w:rFonts w:cstheme="minorHAnsi"/>
        </w:rPr>
        <w:t xml:space="preserve"> akčního plánu Strategie byly</w:t>
      </w:r>
      <w:r w:rsidR="00461112">
        <w:rPr>
          <w:rFonts w:cstheme="minorHAnsi"/>
        </w:rPr>
        <w:t>:</w:t>
      </w:r>
    </w:p>
    <w:p w:rsidR="00393467" w:rsidRDefault="00105C47" w:rsidP="00C04CE4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 xml:space="preserve">Aktuální stav </w:t>
      </w:r>
      <w:proofErr w:type="spellStart"/>
      <w:r>
        <w:rPr>
          <w:rFonts w:cstheme="minorHAnsi"/>
        </w:rPr>
        <w:t>eProcurementu</w:t>
      </w:r>
      <w:proofErr w:type="spellEnd"/>
      <w:r>
        <w:rPr>
          <w:rFonts w:cstheme="minorHAnsi"/>
        </w:rPr>
        <w:t xml:space="preserve"> včetně </w:t>
      </w:r>
      <w:r w:rsidR="00920A8B">
        <w:rPr>
          <w:rFonts w:cstheme="minorHAnsi"/>
        </w:rPr>
        <w:t>pohledu</w:t>
      </w:r>
      <w:r>
        <w:rPr>
          <w:rFonts w:cstheme="minorHAnsi"/>
        </w:rPr>
        <w:t xml:space="preserve"> na</w:t>
      </w:r>
      <w:r w:rsidR="00920A8B">
        <w:rPr>
          <w:rFonts w:cstheme="minorHAnsi"/>
        </w:rPr>
        <w:t xml:space="preserve"> dat</w:t>
      </w:r>
      <w:r>
        <w:rPr>
          <w:rFonts w:cstheme="minorHAnsi"/>
        </w:rPr>
        <w:t>a</w:t>
      </w:r>
      <w:r w:rsidR="00920A8B">
        <w:rPr>
          <w:rFonts w:cstheme="minorHAnsi"/>
        </w:rPr>
        <w:t xml:space="preserve"> o veřejných zakázkách</w:t>
      </w:r>
    </w:p>
    <w:p w:rsidR="00393467" w:rsidRPr="00E14540" w:rsidRDefault="00393467" w:rsidP="00C04CE4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t>Výstupy odborné skupiny pro strategii elektronizace veřejných zakázek</w:t>
      </w:r>
    </w:p>
    <w:p w:rsidR="00E14540" w:rsidRPr="00105C47" w:rsidRDefault="00105C47" w:rsidP="00C04CE4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t xml:space="preserve">Aktualizace </w:t>
      </w:r>
      <w:proofErr w:type="spellStart"/>
      <w:r>
        <w:t>Enterprise</w:t>
      </w:r>
      <w:proofErr w:type="spellEnd"/>
      <w:r>
        <w:t xml:space="preserve"> A</w:t>
      </w:r>
      <w:r w:rsidR="00E14540">
        <w:t>rchitektury NIPEZ</w:t>
      </w:r>
      <w:r w:rsidR="00920A8B">
        <w:t xml:space="preserve"> </w:t>
      </w:r>
    </w:p>
    <w:p w:rsidR="00105C47" w:rsidRDefault="00105C47" w:rsidP="00105C47">
      <w:pPr>
        <w:jc w:val="both"/>
        <w:rPr>
          <w:rFonts w:cstheme="minorHAnsi"/>
        </w:rPr>
      </w:pPr>
      <w:r>
        <w:rPr>
          <w:rFonts w:cstheme="minorHAnsi"/>
        </w:rPr>
        <w:t>Jako hlavní otevřené body z provedené analýzy vyplývají:</w:t>
      </w:r>
    </w:p>
    <w:p w:rsidR="00105C47" w:rsidRPr="00105C47" w:rsidRDefault="00105C47" w:rsidP="00105C47">
      <w:pPr>
        <w:pStyle w:val="ListParagraph"/>
        <w:numPr>
          <w:ilvl w:val="0"/>
          <w:numId w:val="23"/>
        </w:numPr>
        <w:jc w:val="both"/>
      </w:pPr>
      <w:r w:rsidRPr="00105C47">
        <w:t>Roztříštěnost elektronických nástrojů pro zadávání veřejných zakázek</w:t>
      </w:r>
    </w:p>
    <w:p w:rsidR="00105C47" w:rsidRPr="00105C47" w:rsidRDefault="00105C47" w:rsidP="00105C47">
      <w:pPr>
        <w:pStyle w:val="ListParagraph"/>
        <w:numPr>
          <w:ilvl w:val="0"/>
          <w:numId w:val="23"/>
        </w:numPr>
        <w:jc w:val="both"/>
      </w:pPr>
      <w:r w:rsidRPr="00105C47">
        <w:t>Nízká míra využívání certifikovaných elektronických nástrojů</w:t>
      </w:r>
    </w:p>
    <w:p w:rsidR="00105C47" w:rsidRPr="00105C47" w:rsidRDefault="00105C47" w:rsidP="00105C47">
      <w:pPr>
        <w:pStyle w:val="ListParagraph"/>
        <w:numPr>
          <w:ilvl w:val="0"/>
          <w:numId w:val="23"/>
        </w:numPr>
        <w:jc w:val="both"/>
        <w:rPr>
          <w:rFonts w:cstheme="minorHAnsi"/>
        </w:rPr>
      </w:pPr>
      <w:r>
        <w:rPr>
          <w:rFonts w:cstheme="minorHAnsi"/>
        </w:rPr>
        <w:t>Potřeba v</w:t>
      </w:r>
      <w:r w:rsidRPr="00105C47">
        <w:rPr>
          <w:rFonts w:cstheme="minorHAnsi"/>
        </w:rPr>
        <w:t>ylepšení práce s daty o trhu veřejných zakázek</w:t>
      </w:r>
    </w:p>
    <w:p w:rsidR="00105C47" w:rsidRPr="00105C47" w:rsidRDefault="00105C47" w:rsidP="00105C47">
      <w:pPr>
        <w:pStyle w:val="ListParagraph"/>
        <w:numPr>
          <w:ilvl w:val="0"/>
          <w:numId w:val="23"/>
        </w:numPr>
        <w:jc w:val="both"/>
        <w:rPr>
          <w:rFonts w:cstheme="minorHAnsi"/>
        </w:rPr>
      </w:pPr>
      <w:r w:rsidRPr="00105C47">
        <w:rPr>
          <w:rFonts w:cstheme="minorHAnsi"/>
        </w:rPr>
        <w:t>Potřeba aktualizace konceptu NIPEZ</w:t>
      </w:r>
    </w:p>
    <w:p w:rsidR="00105C47" w:rsidRDefault="00105C47" w:rsidP="00105C47">
      <w:pPr>
        <w:jc w:val="both"/>
        <w:rPr>
          <w:rFonts w:cstheme="minorHAnsi"/>
        </w:rPr>
      </w:pPr>
      <w:r>
        <w:rPr>
          <w:rFonts w:cstheme="minorHAnsi"/>
        </w:rPr>
        <w:t>Reakcí na otevřené body je aktualizace akčního plánu strategie elektronizace. Ta zavádí nová opatření realizaci, která se týkají hlavně oblastí:</w:t>
      </w:r>
    </w:p>
    <w:p w:rsidR="00105C47" w:rsidRDefault="00105C47" w:rsidP="00105C47">
      <w:pPr>
        <w:pStyle w:val="ListParagraph"/>
        <w:numPr>
          <w:ilvl w:val="0"/>
          <w:numId w:val="23"/>
        </w:numPr>
        <w:jc w:val="both"/>
      </w:pPr>
      <w:r>
        <w:t>Ulehčení přístupu dodavatelů k trhu veřejných zakázek</w:t>
      </w:r>
    </w:p>
    <w:p w:rsidR="00105C47" w:rsidRDefault="00105C47" w:rsidP="00105C47">
      <w:pPr>
        <w:pStyle w:val="ListParagraph"/>
        <w:numPr>
          <w:ilvl w:val="1"/>
          <w:numId w:val="23"/>
        </w:numPr>
        <w:jc w:val="both"/>
      </w:pPr>
      <w:r>
        <w:t>Například prostřednictvím vytvoření jedné vstupní brány pro dodavatele ke všem elektronickým nástrojům</w:t>
      </w:r>
    </w:p>
    <w:p w:rsidR="00105C47" w:rsidRDefault="00105C47" w:rsidP="00105C47">
      <w:pPr>
        <w:pStyle w:val="ListParagraph"/>
        <w:numPr>
          <w:ilvl w:val="0"/>
          <w:numId w:val="23"/>
        </w:numPr>
        <w:jc w:val="both"/>
      </w:pPr>
      <w:r>
        <w:t>Rychlé, plně elektronické zadávání a kontrola veřejných zakázek</w:t>
      </w:r>
    </w:p>
    <w:p w:rsidR="00105C47" w:rsidRDefault="00105C47" w:rsidP="00105C47">
      <w:pPr>
        <w:pStyle w:val="ListParagraph"/>
        <w:numPr>
          <w:ilvl w:val="1"/>
          <w:numId w:val="23"/>
        </w:numPr>
        <w:jc w:val="both"/>
      </w:pPr>
      <w:r>
        <w:t xml:space="preserve">Například prostřednictvím </w:t>
      </w:r>
      <w:r w:rsidR="00DB5E18" w:rsidRPr="00DB5E18">
        <w:t xml:space="preserve">prosazování možnosti zpřístupňování </w:t>
      </w:r>
      <w:r w:rsidR="00DB5E18">
        <w:t xml:space="preserve">dokumentace k veřejné zakázce při její kontrole přímo v IS NIPEZ. </w:t>
      </w:r>
    </w:p>
    <w:p w:rsidR="00105C47" w:rsidRDefault="00105C47" w:rsidP="00105C47">
      <w:pPr>
        <w:pStyle w:val="ListParagraph"/>
        <w:numPr>
          <w:ilvl w:val="0"/>
          <w:numId w:val="23"/>
        </w:numPr>
        <w:jc w:val="both"/>
      </w:pPr>
      <w:r>
        <w:t>Maximální využití dat z jiných IS eGovernment při zadávání veřejných zakázek</w:t>
      </w:r>
    </w:p>
    <w:p w:rsidR="00105C47" w:rsidRDefault="0043379C" w:rsidP="0043379C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Hlavním nositelem nových opatření je projekt NIPEZ 2.0, jež má za cíl nahradit stávající model fungování NIPEZ, jež byl vytvořen před 10 lety, a který již neodpovídá současným potřebám uživatelů a možnostem moderních technologií. </w:t>
      </w:r>
      <w:r w:rsidR="00F600C1">
        <w:rPr>
          <w:rFonts w:cstheme="minorHAnsi"/>
        </w:rPr>
        <w:t>Detailní popis projektu NIPEZ 2.0 je uveden v příloze č. 4 materiálu.</w:t>
      </w:r>
    </w:p>
    <w:p w:rsidR="0043379C" w:rsidRDefault="00105C47" w:rsidP="0043379C">
      <w:pPr>
        <w:jc w:val="both"/>
        <w:rPr>
          <w:rFonts w:cstheme="minorHAnsi"/>
        </w:rPr>
      </w:pPr>
      <w:r>
        <w:rPr>
          <w:rFonts w:cstheme="minorHAnsi"/>
        </w:rPr>
        <w:t>Základní schéma NIPEZ 2.0</w:t>
      </w:r>
    </w:p>
    <w:p w:rsidR="00F83165" w:rsidRDefault="00F83165" w:rsidP="00F83165">
      <w:pPr>
        <w:pStyle w:val="Caption"/>
        <w:keepNext/>
        <w:jc w:val="both"/>
      </w:pPr>
      <w:bookmarkStart w:id="3" w:name="_Toc529971976"/>
      <w:r>
        <w:t xml:space="preserve">Schéma </w:t>
      </w:r>
      <w:r w:rsidR="00A81447">
        <w:rPr>
          <w:noProof/>
        </w:rPr>
        <w:fldChar w:fldCharType="begin"/>
      </w:r>
      <w:r w:rsidR="00A81447">
        <w:rPr>
          <w:noProof/>
        </w:rPr>
        <w:instrText xml:space="preserve"> SEQ Schéma \* ARABIC </w:instrText>
      </w:r>
      <w:r w:rsidR="00A81447">
        <w:rPr>
          <w:noProof/>
        </w:rPr>
        <w:fldChar w:fldCharType="separate"/>
      </w:r>
      <w:r w:rsidR="009C58C3">
        <w:rPr>
          <w:noProof/>
        </w:rPr>
        <w:t>1</w:t>
      </w:r>
      <w:r w:rsidR="00A81447">
        <w:rPr>
          <w:noProof/>
        </w:rPr>
        <w:fldChar w:fldCharType="end"/>
      </w:r>
      <w:r>
        <w:t xml:space="preserve"> NIPEZ 2.0</w:t>
      </w:r>
      <w:bookmarkEnd w:id="3"/>
    </w:p>
    <w:p w:rsidR="00F83165" w:rsidRDefault="00A9049A" w:rsidP="00F83165">
      <w:pPr>
        <w:keepNext/>
        <w:jc w:val="both"/>
      </w:pPr>
      <w:r>
        <w:rPr>
          <w:noProof/>
        </w:rPr>
        <w:object w:dxaOrig="14816" w:dyaOrig="9146" w14:anchorId="28B40F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489.95pt;height:302.05pt;mso-width-percent:0;mso-height-percent:0;mso-width-percent:0;mso-height-percent:0" o:ole="">
            <v:imagedata r:id="rId8" o:title=""/>
          </v:shape>
          <o:OLEObject Type="Embed" ProgID="Visio.Drawing.11" ShapeID="_x0000_i1027" DrawAspect="Content" ObjectID="_1606042213" r:id="rId9"/>
        </w:object>
      </w:r>
    </w:p>
    <w:p w:rsidR="0043379C" w:rsidRPr="0043379C" w:rsidRDefault="00F83165" w:rsidP="00F83165">
      <w:pPr>
        <w:pStyle w:val="Caption"/>
        <w:jc w:val="both"/>
        <w:rPr>
          <w:rFonts w:cstheme="minorHAnsi"/>
        </w:rPr>
      </w:pPr>
      <w:r>
        <w:t xml:space="preserve">Zdroj: </w:t>
      </w:r>
      <w:r w:rsidR="00A81447">
        <w:rPr>
          <w:noProof/>
        </w:rPr>
        <w:fldChar w:fldCharType="begin"/>
      </w:r>
      <w:r w:rsidR="00A81447">
        <w:rPr>
          <w:noProof/>
        </w:rPr>
        <w:instrText xml:space="preserve"> SEQ Zdroj: \* ARABIC </w:instrText>
      </w:r>
      <w:r w:rsidR="00A81447">
        <w:rPr>
          <w:noProof/>
        </w:rPr>
        <w:fldChar w:fldCharType="separate"/>
      </w:r>
      <w:r w:rsidR="009C58C3">
        <w:rPr>
          <w:noProof/>
        </w:rPr>
        <w:t>1</w:t>
      </w:r>
      <w:r w:rsidR="00A81447">
        <w:rPr>
          <w:noProof/>
        </w:rPr>
        <w:fldChar w:fldCharType="end"/>
      </w:r>
      <w:r>
        <w:t xml:space="preserve"> Ministerstvo pro místní rozvoj</w:t>
      </w:r>
    </w:p>
    <w:p w:rsidR="00836010" w:rsidRDefault="00836010" w:rsidP="00836010"/>
    <w:p w:rsidR="00105C47" w:rsidRDefault="00105C47" w:rsidP="00105C47">
      <w:pPr>
        <w:jc w:val="both"/>
        <w:rPr>
          <w:rFonts w:cstheme="minorHAnsi"/>
        </w:rPr>
      </w:pPr>
      <w:r>
        <w:rPr>
          <w:rFonts w:cstheme="minorHAnsi"/>
        </w:rPr>
        <w:t>Portál o veřejných zakázkách se stane hlavní vstupní branou pro dodavatele do „světa“ veřejných zakázek. Bude obsahovat informace o všech veřejných zakázkách realizovaných na připojených elektronických nástrojích. Vedle toho dojde k aktualizaci fungování ostatních systémů NIPEZ tak, aby byly splnění hlavní cíle Strategie.</w:t>
      </w:r>
    </w:p>
    <w:p w:rsidR="00105C47" w:rsidRPr="00105C47" w:rsidRDefault="00105C47" w:rsidP="00105C47">
      <w:pPr>
        <w:jc w:val="both"/>
        <w:rPr>
          <w:rFonts w:cstheme="minorHAnsi"/>
        </w:rPr>
      </w:pPr>
      <w:r>
        <w:rPr>
          <w:rFonts w:cstheme="minorHAnsi"/>
        </w:rPr>
        <w:t>Detailní popis vst</w:t>
      </w:r>
      <w:r w:rsidR="007838BE">
        <w:rPr>
          <w:rFonts w:cstheme="minorHAnsi"/>
        </w:rPr>
        <w:t>upů, s kterými se pracovalo</w:t>
      </w:r>
      <w:r>
        <w:rPr>
          <w:rFonts w:cstheme="minorHAnsi"/>
        </w:rPr>
        <w:t xml:space="preserve"> při aktualizaci akčního plánu strategie, je uveden v příloze č. 1. Hlavní otevřené body stávajícího stavu jsou uvedené v příloze č. 2. Seznam opatření navázaných na řešení konkrétních otevřených bodů je uveden v příloze č. 3. Projekt NIPEZ 2.0, jež je </w:t>
      </w:r>
      <w:r w:rsidR="00F600C1">
        <w:rPr>
          <w:rFonts w:cstheme="minorHAnsi"/>
        </w:rPr>
        <w:t>hlavním nositelem úkolů</w:t>
      </w:r>
      <w:r>
        <w:rPr>
          <w:rFonts w:cstheme="minorHAnsi"/>
        </w:rPr>
        <w:t>, je popsán v příloze č. 4.</w:t>
      </w:r>
    </w:p>
    <w:p w:rsidR="0043379C" w:rsidRPr="00836010" w:rsidRDefault="0043379C" w:rsidP="00836010">
      <w:r>
        <w:t>Následující kapitola zobrazuje aktualizovaný akční plán strategie elektronizace veřejných zakázek pro období 2016-2020. Nová opatření jsou zvýrazněna žlutě.</w:t>
      </w:r>
    </w:p>
    <w:p w:rsidR="000F2B5A" w:rsidRDefault="000F2B5A" w:rsidP="00C04CE4">
      <w:pPr>
        <w:pStyle w:val="Heading1"/>
        <w:pageBreakBefore/>
        <w:numPr>
          <w:ilvl w:val="0"/>
          <w:numId w:val="9"/>
        </w:numPr>
      </w:pPr>
      <w:bookmarkStart w:id="4" w:name="_Toc530127683"/>
      <w:r>
        <w:lastRenderedPageBreak/>
        <w:t>Aktualizovaný akční plán Strategie elektronizace veřejných zakázek pro období 2016-2020</w:t>
      </w:r>
      <w:bookmarkEnd w:id="4"/>
    </w:p>
    <w:p w:rsidR="000F2B5A" w:rsidRPr="009B5539" w:rsidRDefault="000F2B5A" w:rsidP="000F2B5A">
      <w:pPr>
        <w:spacing w:before="120" w:after="0" w:line="240" w:lineRule="auto"/>
        <w:ind w:firstLine="720"/>
        <w:jc w:val="both"/>
        <w:rPr>
          <w:rFonts w:ascii="Futura Bk" w:eastAsia="Times New Roman" w:hAnsi="Futura Bk" w:cs="Times New Roman"/>
          <w:sz w:val="20"/>
          <w:szCs w:val="20"/>
          <w:highlight w:val="yellow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3807"/>
        <w:gridCol w:w="2236"/>
        <w:gridCol w:w="77"/>
        <w:gridCol w:w="1612"/>
      </w:tblGrid>
      <w:tr w:rsidR="000F2B5A" w:rsidRPr="0070518F" w:rsidTr="00836010">
        <w:tc>
          <w:tcPr>
            <w:tcW w:w="93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  <w:vAlign w:val="center"/>
          </w:tcPr>
          <w:p w:rsidR="000F2B5A" w:rsidRPr="0070518F" w:rsidRDefault="000F2B5A" w:rsidP="00836010">
            <w:pPr>
              <w:spacing w:before="60" w:after="60" w:line="240" w:lineRule="auto"/>
              <w:ind w:firstLine="14"/>
              <w:jc w:val="center"/>
              <w:rPr>
                <w:rFonts w:eastAsia="Times New Roman" w:cs="Arial"/>
                <w:b/>
              </w:rPr>
            </w:pPr>
            <w:r w:rsidRPr="0070518F">
              <w:rPr>
                <w:rFonts w:eastAsia="Times New Roman" w:cs="Arial"/>
                <w:b/>
              </w:rPr>
              <w:t>Strategický cíl 1 – Optimalizace fungování NIPEZ</w:t>
            </w:r>
          </w:p>
        </w:tc>
      </w:tr>
      <w:tr w:rsidR="000F2B5A" w:rsidRPr="0070518F" w:rsidTr="00836010"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5B3D7"/>
            <w:vAlign w:val="center"/>
          </w:tcPr>
          <w:p w:rsidR="000F2B5A" w:rsidRPr="0070518F" w:rsidRDefault="000F2B5A" w:rsidP="00836010">
            <w:pPr>
              <w:spacing w:before="60" w:after="6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0518F">
              <w:rPr>
                <w:rFonts w:eastAsia="Times New Roman" w:cs="Arial"/>
                <w:b/>
                <w:sz w:val="20"/>
                <w:szCs w:val="20"/>
              </w:rPr>
              <w:t>Číslo opatření</w:t>
            </w:r>
          </w:p>
        </w:tc>
        <w:tc>
          <w:tcPr>
            <w:tcW w:w="3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5B3D7"/>
            <w:vAlign w:val="center"/>
          </w:tcPr>
          <w:p w:rsidR="000F2B5A" w:rsidRPr="0070518F" w:rsidRDefault="000F2B5A" w:rsidP="00836010">
            <w:pPr>
              <w:spacing w:before="60" w:after="6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0518F">
              <w:rPr>
                <w:rFonts w:eastAsia="Times New Roman" w:cs="Arial"/>
                <w:b/>
                <w:sz w:val="20"/>
                <w:szCs w:val="20"/>
              </w:rPr>
              <w:t>Název opatření/úkolu</w:t>
            </w:r>
          </w:p>
        </w:tc>
        <w:tc>
          <w:tcPr>
            <w:tcW w:w="2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5B3D7"/>
            <w:vAlign w:val="center"/>
          </w:tcPr>
          <w:p w:rsidR="000F2B5A" w:rsidRPr="0070518F" w:rsidRDefault="000F2B5A" w:rsidP="00836010">
            <w:pPr>
              <w:spacing w:before="60" w:after="6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0518F">
              <w:rPr>
                <w:rFonts w:eastAsia="Times New Roman" w:cs="Arial"/>
                <w:b/>
                <w:sz w:val="20"/>
                <w:szCs w:val="20"/>
              </w:rPr>
              <w:t>Odpovídá</w:t>
            </w:r>
          </w:p>
        </w:tc>
        <w:tc>
          <w:tcPr>
            <w:tcW w:w="168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  <w:vAlign w:val="center"/>
          </w:tcPr>
          <w:p w:rsidR="000F2B5A" w:rsidRPr="0070518F" w:rsidRDefault="000F2B5A" w:rsidP="00836010">
            <w:pPr>
              <w:spacing w:before="60" w:after="60" w:line="240" w:lineRule="auto"/>
              <w:ind w:firstLine="14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0518F">
              <w:rPr>
                <w:rFonts w:eastAsia="Times New Roman" w:cs="Arial"/>
                <w:b/>
                <w:sz w:val="20"/>
                <w:szCs w:val="20"/>
              </w:rPr>
              <w:t>Termín</w:t>
            </w:r>
          </w:p>
        </w:tc>
      </w:tr>
      <w:tr w:rsidR="000F2B5A" w:rsidRPr="0070518F" w:rsidTr="00836010">
        <w:tc>
          <w:tcPr>
            <w:tcW w:w="93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/>
          </w:tcPr>
          <w:p w:rsidR="000F2B5A" w:rsidRPr="0070518F" w:rsidRDefault="000F2B5A" w:rsidP="00836010">
            <w:pPr>
              <w:tabs>
                <w:tab w:val="left" w:pos="709"/>
              </w:tabs>
              <w:spacing w:before="60" w:after="6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0518F">
              <w:rPr>
                <w:rFonts w:eastAsia="Times New Roman" w:cs="Arial"/>
                <w:b/>
                <w:bCs/>
                <w:sz w:val="20"/>
                <w:szCs w:val="20"/>
              </w:rPr>
              <w:t>A. Opatření související s realizací modulu NEN projektu NIPEZ</w:t>
            </w:r>
          </w:p>
        </w:tc>
      </w:tr>
      <w:tr w:rsidR="000F2B5A" w:rsidRPr="0070518F" w:rsidTr="00836010">
        <w:tc>
          <w:tcPr>
            <w:tcW w:w="1662" w:type="dxa"/>
            <w:tcBorders>
              <w:left w:val="single" w:sz="12" w:space="0" w:color="auto"/>
              <w:bottom w:val="single" w:sz="12" w:space="0" w:color="auto"/>
            </w:tcBorders>
          </w:tcPr>
          <w:p w:rsidR="000F2B5A" w:rsidRPr="0070518F" w:rsidRDefault="000F2B5A" w:rsidP="00836010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3807" w:type="dxa"/>
            <w:tcBorders>
              <w:bottom w:val="single" w:sz="12" w:space="0" w:color="auto"/>
            </w:tcBorders>
          </w:tcPr>
          <w:p w:rsidR="000F2B5A" w:rsidRPr="0070518F" w:rsidRDefault="000F2B5A" w:rsidP="00836010">
            <w:pPr>
              <w:tabs>
                <w:tab w:val="left" w:pos="284"/>
              </w:tabs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 xml:space="preserve">Realizovat vzdělávací akce pro zadavatele veřejných zakázek a další subjekty účastnící se veřejného investování prováděné formou </w:t>
            </w:r>
            <w:r w:rsidRPr="0070518F">
              <w:rPr>
                <w:rFonts w:cstheme="minorHAnsi"/>
                <w:sz w:val="20"/>
                <w:szCs w:val="20"/>
              </w:rPr>
              <w:t>specializovaných s</w:t>
            </w:r>
            <w:r w:rsidRPr="0070518F">
              <w:rPr>
                <w:rFonts w:eastAsia="Times New Roman" w:cs="Arial"/>
                <w:sz w:val="20"/>
                <w:szCs w:val="20"/>
              </w:rPr>
              <w:t>eminářů, individualizovaných školení pro významné zadavatele k používání Národního elektronického nástroje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0F2B5A" w:rsidRPr="0070518F" w:rsidRDefault="000F2B5A" w:rsidP="00836010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Ministerstvo pro místní rozvoj</w:t>
            </w:r>
          </w:p>
        </w:tc>
        <w:tc>
          <w:tcPr>
            <w:tcW w:w="168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F2B5A" w:rsidRPr="0070518F" w:rsidRDefault="000F2B5A" w:rsidP="00836010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Průběžně</w:t>
            </w:r>
          </w:p>
        </w:tc>
      </w:tr>
      <w:tr w:rsidR="000F2B5A" w:rsidRPr="0070518F" w:rsidTr="00836010">
        <w:tc>
          <w:tcPr>
            <w:tcW w:w="1662" w:type="dxa"/>
            <w:tcBorders>
              <w:left w:val="single" w:sz="12" w:space="0" w:color="auto"/>
              <w:bottom w:val="single" w:sz="12" w:space="0" w:color="auto"/>
            </w:tcBorders>
          </w:tcPr>
          <w:p w:rsidR="000F2B5A" w:rsidRPr="0070518F" w:rsidRDefault="000F2B5A" w:rsidP="00836010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3807" w:type="dxa"/>
            <w:tcBorders>
              <w:bottom w:val="single" w:sz="12" w:space="0" w:color="auto"/>
            </w:tcBorders>
          </w:tcPr>
          <w:p w:rsidR="000F2B5A" w:rsidRPr="0070518F" w:rsidRDefault="000F2B5A" w:rsidP="00836010">
            <w:pPr>
              <w:tabs>
                <w:tab w:val="left" w:pos="284"/>
              </w:tabs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Zajištění realizace požadavků</w:t>
            </w:r>
            <w:r w:rsidRPr="007051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0518F">
              <w:rPr>
                <w:rFonts w:eastAsia="Times New Roman" w:cs="Arial"/>
                <w:sz w:val="20"/>
                <w:szCs w:val="20"/>
              </w:rPr>
              <w:t xml:space="preserve">na integraci modulů NIPEZ s výstupy </w:t>
            </w:r>
            <w:proofErr w:type="spellStart"/>
            <w:r w:rsidRPr="0070518F">
              <w:rPr>
                <w:rFonts w:eastAsia="Times New Roman" w:cs="Arial"/>
                <w:sz w:val="20"/>
                <w:szCs w:val="20"/>
              </w:rPr>
              <w:t>eSENS</w:t>
            </w:r>
            <w:proofErr w:type="spellEnd"/>
            <w:r w:rsidRPr="0070518F">
              <w:rPr>
                <w:rFonts w:eastAsia="Times New Roman" w:cs="Arial"/>
                <w:sz w:val="20"/>
                <w:szCs w:val="20"/>
              </w:rPr>
              <w:t xml:space="preserve"> a dalších projektů EU určených k propojování infrastruktur členských států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0F2B5A" w:rsidRPr="0070518F" w:rsidRDefault="000F2B5A" w:rsidP="0083601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Ministerstvo pro místní rozvoj</w:t>
            </w:r>
          </w:p>
        </w:tc>
        <w:tc>
          <w:tcPr>
            <w:tcW w:w="168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F2B5A" w:rsidRPr="0070518F" w:rsidRDefault="000F2B5A" w:rsidP="00836010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31. 12. 2020</w:t>
            </w:r>
          </w:p>
        </w:tc>
      </w:tr>
      <w:tr w:rsidR="000F2B5A" w:rsidRPr="0070518F" w:rsidTr="00836010">
        <w:tc>
          <w:tcPr>
            <w:tcW w:w="1662" w:type="dxa"/>
            <w:tcBorders>
              <w:left w:val="single" w:sz="12" w:space="0" w:color="auto"/>
              <w:bottom w:val="single" w:sz="12" w:space="0" w:color="auto"/>
            </w:tcBorders>
          </w:tcPr>
          <w:p w:rsidR="000F2B5A" w:rsidRPr="0070518F" w:rsidRDefault="000F2B5A" w:rsidP="00836010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3807" w:type="dxa"/>
            <w:tcBorders>
              <w:bottom w:val="single" w:sz="12" w:space="0" w:color="auto"/>
            </w:tcBorders>
          </w:tcPr>
          <w:p w:rsidR="000F2B5A" w:rsidRPr="0070518F" w:rsidRDefault="000F2B5A" w:rsidP="00836010">
            <w:pPr>
              <w:tabs>
                <w:tab w:val="left" w:pos="284"/>
              </w:tabs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 xml:space="preserve">Stanovení povinnosti využívání profilu zadavatele NEN všemi zadavateli 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0F2B5A" w:rsidRPr="0070518F" w:rsidRDefault="000F2B5A" w:rsidP="00836010">
            <w:pPr>
              <w:spacing w:before="120" w:after="12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0518F">
              <w:rPr>
                <w:rFonts w:eastAsia="Times New Roman" w:cs="Times New Roman"/>
                <w:sz w:val="20"/>
                <w:szCs w:val="20"/>
              </w:rPr>
              <w:t>Ministerstvo pro místní rozvoj</w:t>
            </w:r>
          </w:p>
        </w:tc>
        <w:tc>
          <w:tcPr>
            <w:tcW w:w="168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F2B5A" w:rsidRPr="0070518F" w:rsidRDefault="000F2B5A" w:rsidP="00836010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V návaznosti na vyhodnocení úkolu A. 15</w:t>
            </w:r>
          </w:p>
        </w:tc>
      </w:tr>
      <w:tr w:rsidR="000F2B5A" w:rsidRPr="0070518F" w:rsidTr="00836010">
        <w:tc>
          <w:tcPr>
            <w:tcW w:w="1662" w:type="dxa"/>
            <w:tcBorders>
              <w:left w:val="single" w:sz="12" w:space="0" w:color="auto"/>
              <w:bottom w:val="single" w:sz="12" w:space="0" w:color="auto"/>
            </w:tcBorders>
          </w:tcPr>
          <w:p w:rsidR="000F2B5A" w:rsidRPr="0070518F" w:rsidRDefault="000F2B5A" w:rsidP="00836010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7</w:t>
            </w:r>
          </w:p>
        </w:tc>
        <w:tc>
          <w:tcPr>
            <w:tcW w:w="3807" w:type="dxa"/>
            <w:tcBorders>
              <w:bottom w:val="single" w:sz="12" w:space="0" w:color="auto"/>
            </w:tcBorders>
          </w:tcPr>
          <w:p w:rsidR="000F2B5A" w:rsidRPr="0070518F" w:rsidRDefault="000F2B5A" w:rsidP="00836010">
            <w:pPr>
              <w:tabs>
                <w:tab w:val="left" w:pos="284"/>
              </w:tabs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 xml:space="preserve">Stanovení povinnosti využívání NEN všemi zadavateli dle zákona o zadávání veřejných zakázek 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0F2B5A" w:rsidRPr="0070518F" w:rsidRDefault="000F2B5A" w:rsidP="00836010">
            <w:pPr>
              <w:spacing w:before="120" w:after="12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0518F">
              <w:rPr>
                <w:rFonts w:eastAsia="Times New Roman" w:cs="Times New Roman"/>
                <w:sz w:val="20"/>
                <w:szCs w:val="20"/>
              </w:rPr>
              <w:t>Ministerstvo pro místní rozvoj</w:t>
            </w:r>
          </w:p>
        </w:tc>
        <w:tc>
          <w:tcPr>
            <w:tcW w:w="168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F2B5A" w:rsidRPr="0070518F" w:rsidRDefault="000F2B5A" w:rsidP="00836010">
            <w:pPr>
              <w:spacing w:before="60" w:after="60" w:line="240" w:lineRule="auto"/>
              <w:jc w:val="center"/>
              <w:rPr>
                <w:rFonts w:eastAsia="Times New Roman" w:cs="Arial"/>
                <w:strike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V návaznosti na vyhodnocení úkolu A. 15</w:t>
            </w:r>
          </w:p>
        </w:tc>
      </w:tr>
      <w:tr w:rsidR="000F2B5A" w:rsidRPr="0070518F" w:rsidTr="00836010">
        <w:tc>
          <w:tcPr>
            <w:tcW w:w="1662" w:type="dxa"/>
            <w:tcBorders>
              <w:left w:val="single" w:sz="12" w:space="0" w:color="auto"/>
              <w:bottom w:val="single" w:sz="12" w:space="0" w:color="auto"/>
            </w:tcBorders>
          </w:tcPr>
          <w:p w:rsidR="000F2B5A" w:rsidRPr="0070518F" w:rsidRDefault="000F2B5A" w:rsidP="00836010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8</w:t>
            </w:r>
          </w:p>
        </w:tc>
        <w:tc>
          <w:tcPr>
            <w:tcW w:w="3807" w:type="dxa"/>
            <w:tcBorders>
              <w:bottom w:val="single" w:sz="12" w:space="0" w:color="auto"/>
            </w:tcBorders>
          </w:tcPr>
          <w:p w:rsidR="000F2B5A" w:rsidRPr="0070518F" w:rsidRDefault="000F2B5A" w:rsidP="00836010">
            <w:pPr>
              <w:tabs>
                <w:tab w:val="left" w:pos="284"/>
              </w:tabs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Používání NEN při realizaci centrálních nákupů státu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0F2B5A" w:rsidRPr="0070518F" w:rsidRDefault="000F2B5A" w:rsidP="00836010">
            <w:pPr>
              <w:spacing w:before="120" w:after="12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0518F">
              <w:rPr>
                <w:rFonts w:eastAsia="Times New Roman" w:cs="Times New Roman"/>
                <w:sz w:val="20"/>
                <w:szCs w:val="20"/>
              </w:rPr>
              <w:t xml:space="preserve">Ministerstvo financí ve spolupráci s Ministerstvem pro místní rozvoj </w:t>
            </w:r>
          </w:p>
        </w:tc>
        <w:tc>
          <w:tcPr>
            <w:tcW w:w="168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F2B5A" w:rsidRPr="0070518F" w:rsidRDefault="000F2B5A" w:rsidP="00836010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průběžně</w:t>
            </w:r>
          </w:p>
        </w:tc>
      </w:tr>
      <w:tr w:rsidR="000F2B5A" w:rsidRPr="0070518F" w:rsidTr="00836010">
        <w:tc>
          <w:tcPr>
            <w:tcW w:w="1662" w:type="dxa"/>
            <w:tcBorders>
              <w:left w:val="single" w:sz="12" w:space="0" w:color="auto"/>
              <w:bottom w:val="single" w:sz="12" w:space="0" w:color="auto"/>
            </w:tcBorders>
          </w:tcPr>
          <w:p w:rsidR="000F2B5A" w:rsidRPr="0070518F" w:rsidRDefault="000F2B5A" w:rsidP="00836010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highlight w:val="yellow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11</w:t>
            </w:r>
          </w:p>
        </w:tc>
        <w:tc>
          <w:tcPr>
            <w:tcW w:w="3807" w:type="dxa"/>
            <w:tcBorders>
              <w:bottom w:val="single" w:sz="12" w:space="0" w:color="auto"/>
            </w:tcBorders>
          </w:tcPr>
          <w:p w:rsidR="000F2B5A" w:rsidRPr="0070518F" w:rsidRDefault="000F2B5A" w:rsidP="00836010">
            <w:pPr>
              <w:tabs>
                <w:tab w:val="left" w:pos="284"/>
              </w:tabs>
              <w:spacing w:before="60" w:after="6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0518F">
              <w:rPr>
                <w:rFonts w:eastAsia="Times New Roman" w:cs="Times New Roman"/>
                <w:sz w:val="20"/>
                <w:szCs w:val="20"/>
              </w:rPr>
              <w:t>Zajištění plné funkcionality NEN pro nadresortní centralizované zadávání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0F2B5A" w:rsidRPr="0070518F" w:rsidRDefault="000F2B5A" w:rsidP="00836010">
            <w:pPr>
              <w:spacing w:before="120" w:after="12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0518F">
              <w:rPr>
                <w:rFonts w:eastAsia="Times New Roman" w:cs="Times New Roman"/>
                <w:sz w:val="20"/>
                <w:szCs w:val="20"/>
              </w:rPr>
              <w:t>Ministerstvo pro místní rozvoj ve spolupráci s Ministerstvem financí a Ministerstvem vnitra</w:t>
            </w:r>
          </w:p>
        </w:tc>
        <w:tc>
          <w:tcPr>
            <w:tcW w:w="168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F2B5A" w:rsidRPr="0070518F" w:rsidRDefault="000F2B5A" w:rsidP="00836010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30. 6. 2019</w:t>
            </w:r>
          </w:p>
        </w:tc>
      </w:tr>
      <w:tr w:rsidR="000F2B5A" w:rsidRPr="0070518F" w:rsidTr="00836010">
        <w:tc>
          <w:tcPr>
            <w:tcW w:w="1662" w:type="dxa"/>
            <w:tcBorders>
              <w:left w:val="single" w:sz="12" w:space="0" w:color="auto"/>
              <w:bottom w:val="single" w:sz="12" w:space="0" w:color="auto"/>
            </w:tcBorders>
          </w:tcPr>
          <w:p w:rsidR="000F2B5A" w:rsidRPr="0070518F" w:rsidRDefault="000F2B5A" w:rsidP="00836010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13</w:t>
            </w:r>
          </w:p>
        </w:tc>
        <w:tc>
          <w:tcPr>
            <w:tcW w:w="3807" w:type="dxa"/>
            <w:tcBorders>
              <w:bottom w:val="single" w:sz="12" w:space="0" w:color="auto"/>
            </w:tcBorders>
          </w:tcPr>
          <w:p w:rsidR="000F2B5A" w:rsidRPr="0070518F" w:rsidRDefault="000F2B5A" w:rsidP="00836010">
            <w:pPr>
              <w:tabs>
                <w:tab w:val="left" w:pos="284"/>
              </w:tabs>
              <w:spacing w:before="60" w:after="6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0518F">
              <w:rPr>
                <w:rFonts w:eastAsia="Times New Roman" w:cs="Times New Roman"/>
                <w:sz w:val="20"/>
                <w:szCs w:val="20"/>
              </w:rPr>
              <w:t>Realizovat opatření s cílem zvýšit počet dodavatelů registrovaných v</w:t>
            </w:r>
            <w:r w:rsidR="00174EDC" w:rsidRPr="0070518F">
              <w:rPr>
                <w:rFonts w:eastAsia="Times New Roman" w:cs="Times New Roman"/>
                <w:sz w:val="20"/>
                <w:szCs w:val="20"/>
              </w:rPr>
              <w:t> </w:t>
            </w:r>
            <w:r w:rsidRPr="0070518F">
              <w:rPr>
                <w:rFonts w:eastAsia="Times New Roman" w:cs="Times New Roman"/>
                <w:sz w:val="20"/>
                <w:szCs w:val="20"/>
              </w:rPr>
              <w:t>NEN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0F2B5A" w:rsidRPr="0070518F" w:rsidRDefault="000F2B5A" w:rsidP="00836010">
            <w:pPr>
              <w:spacing w:before="120" w:after="12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0518F">
              <w:rPr>
                <w:rFonts w:eastAsia="Times New Roman" w:cs="Times New Roman"/>
                <w:sz w:val="20"/>
                <w:szCs w:val="20"/>
              </w:rPr>
              <w:t>Ministerstvo pro místní rozvoj</w:t>
            </w:r>
          </w:p>
        </w:tc>
        <w:tc>
          <w:tcPr>
            <w:tcW w:w="168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F2B5A" w:rsidRPr="0070518F" w:rsidRDefault="000F2B5A" w:rsidP="00836010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průběžně</w:t>
            </w:r>
          </w:p>
        </w:tc>
      </w:tr>
      <w:tr w:rsidR="000F2B5A" w:rsidRPr="0070518F" w:rsidTr="00836010">
        <w:tc>
          <w:tcPr>
            <w:tcW w:w="1662" w:type="dxa"/>
            <w:tcBorders>
              <w:left w:val="single" w:sz="12" w:space="0" w:color="auto"/>
              <w:bottom w:val="single" w:sz="12" w:space="0" w:color="auto"/>
            </w:tcBorders>
          </w:tcPr>
          <w:p w:rsidR="000F2B5A" w:rsidRPr="0070518F" w:rsidRDefault="000F2B5A" w:rsidP="00836010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14</w:t>
            </w:r>
          </w:p>
        </w:tc>
        <w:tc>
          <w:tcPr>
            <w:tcW w:w="3807" w:type="dxa"/>
            <w:tcBorders>
              <w:bottom w:val="single" w:sz="12" w:space="0" w:color="auto"/>
            </w:tcBorders>
          </w:tcPr>
          <w:p w:rsidR="000F2B5A" w:rsidRPr="0070518F" w:rsidRDefault="000F2B5A" w:rsidP="00836010">
            <w:pPr>
              <w:tabs>
                <w:tab w:val="left" w:pos="284"/>
              </w:tabs>
              <w:spacing w:before="60" w:after="6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0518F">
              <w:rPr>
                <w:rFonts w:eastAsia="Times New Roman" w:cs="Times New Roman"/>
                <w:sz w:val="20"/>
                <w:szCs w:val="20"/>
              </w:rPr>
              <w:t>Navrhnout podrobné technické požadavky na propojení IEN a NEN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0F2B5A" w:rsidRPr="0070518F" w:rsidRDefault="000F2B5A" w:rsidP="00836010">
            <w:pPr>
              <w:tabs>
                <w:tab w:val="left" w:pos="284"/>
              </w:tabs>
              <w:spacing w:before="60" w:after="6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Ministerstvo pro místní rozvoj</w:t>
            </w:r>
          </w:p>
        </w:tc>
        <w:tc>
          <w:tcPr>
            <w:tcW w:w="168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F2B5A" w:rsidRPr="0070518F" w:rsidRDefault="000F2B5A" w:rsidP="00836010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12 měsíců po zadání veřejné zakázky na další rozvoj NEN</w:t>
            </w:r>
          </w:p>
        </w:tc>
      </w:tr>
      <w:tr w:rsidR="000F2B5A" w:rsidRPr="0070518F" w:rsidTr="00836010">
        <w:tc>
          <w:tcPr>
            <w:tcW w:w="1662" w:type="dxa"/>
            <w:tcBorders>
              <w:left w:val="single" w:sz="12" w:space="0" w:color="auto"/>
              <w:bottom w:val="single" w:sz="12" w:space="0" w:color="auto"/>
            </w:tcBorders>
          </w:tcPr>
          <w:p w:rsidR="000F2B5A" w:rsidRPr="0070518F" w:rsidRDefault="000F2B5A" w:rsidP="00836010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3807" w:type="dxa"/>
            <w:tcBorders>
              <w:bottom w:val="single" w:sz="12" w:space="0" w:color="auto"/>
            </w:tcBorders>
          </w:tcPr>
          <w:p w:rsidR="000F2B5A" w:rsidRPr="0070518F" w:rsidRDefault="000F2B5A" w:rsidP="00836010">
            <w:pPr>
              <w:tabs>
                <w:tab w:val="left" w:pos="284"/>
              </w:tabs>
              <w:spacing w:before="60" w:after="6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0518F">
              <w:rPr>
                <w:rFonts w:eastAsia="Times New Roman" w:cs="Times New Roman"/>
                <w:sz w:val="20"/>
                <w:szCs w:val="20"/>
              </w:rPr>
              <w:t>Provést vyhodnocení povinného využívání NEN dle UV 467/2017</w:t>
            </w:r>
            <w:r w:rsidRPr="0070518F">
              <w:rPr>
                <w:rFonts w:eastAsia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  <w:p w:rsidR="000F2B5A" w:rsidRPr="0070518F" w:rsidRDefault="000F2B5A" w:rsidP="00836010">
            <w:pPr>
              <w:tabs>
                <w:tab w:val="left" w:pos="284"/>
              </w:tabs>
              <w:spacing w:before="60" w:after="6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0F2B5A" w:rsidRPr="0070518F" w:rsidRDefault="000F2B5A" w:rsidP="00836010">
            <w:pPr>
              <w:tabs>
                <w:tab w:val="left" w:pos="284"/>
              </w:tabs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Ministerstvo pro místní rozvoj</w:t>
            </w:r>
          </w:p>
        </w:tc>
        <w:tc>
          <w:tcPr>
            <w:tcW w:w="168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F2B5A" w:rsidRPr="0070518F" w:rsidRDefault="000F2B5A" w:rsidP="00836010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31. 1. 2019</w:t>
            </w:r>
          </w:p>
        </w:tc>
      </w:tr>
      <w:tr w:rsidR="000F2B5A" w:rsidRPr="0070518F" w:rsidTr="00836010">
        <w:tc>
          <w:tcPr>
            <w:tcW w:w="93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/>
          </w:tcPr>
          <w:p w:rsidR="000F2B5A" w:rsidRPr="0070518F" w:rsidRDefault="000F2B5A" w:rsidP="00836010">
            <w:pPr>
              <w:tabs>
                <w:tab w:val="left" w:pos="709"/>
              </w:tabs>
              <w:spacing w:before="60" w:after="6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shd w:val="clear" w:color="auto" w:fill="B8CCE4"/>
              </w:rPr>
            </w:pPr>
            <w:r w:rsidRPr="0070518F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B</w:t>
            </w:r>
            <w:r w:rsidRPr="0070518F">
              <w:rPr>
                <w:rFonts w:eastAsia="Times New Roman" w:cs="Arial"/>
                <w:b/>
                <w:bCs/>
                <w:sz w:val="20"/>
                <w:szCs w:val="20"/>
                <w:shd w:val="clear" w:color="auto" w:fill="B8CCE4"/>
              </w:rPr>
              <w:t>. Opatření související s realizací modulu e-tržišť projektu NIPEZ</w:t>
            </w:r>
          </w:p>
          <w:p w:rsidR="000F2B5A" w:rsidRPr="0070518F" w:rsidRDefault="000F2B5A" w:rsidP="00836010">
            <w:pPr>
              <w:tabs>
                <w:tab w:val="left" w:pos="709"/>
              </w:tabs>
              <w:spacing w:before="60" w:after="60" w:line="240" w:lineRule="auto"/>
              <w:jc w:val="both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70518F">
              <w:rPr>
                <w:rFonts w:eastAsia="Times New Roman" w:cs="Arial"/>
                <w:b/>
                <w:bCs/>
                <w:sz w:val="20"/>
                <w:szCs w:val="20"/>
                <w:shd w:val="clear" w:color="auto" w:fill="B8CCE4"/>
              </w:rPr>
              <w:t>- všechny úkoly již byly splněny</w:t>
            </w:r>
          </w:p>
        </w:tc>
      </w:tr>
      <w:tr w:rsidR="000F2B5A" w:rsidRPr="0070518F" w:rsidTr="00836010">
        <w:tc>
          <w:tcPr>
            <w:tcW w:w="93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/>
          </w:tcPr>
          <w:p w:rsidR="000F2B5A" w:rsidRPr="0070518F" w:rsidRDefault="000F2B5A" w:rsidP="00836010">
            <w:pPr>
              <w:tabs>
                <w:tab w:val="left" w:pos="709"/>
              </w:tabs>
              <w:spacing w:before="60" w:after="6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0518F">
              <w:rPr>
                <w:rFonts w:eastAsia="Times New Roman" w:cs="Arial"/>
                <w:b/>
                <w:bCs/>
                <w:sz w:val="20"/>
                <w:szCs w:val="20"/>
              </w:rPr>
              <w:t>C. Opatření související s realizací ostatních modulů projektu NIPEZ</w:t>
            </w:r>
          </w:p>
        </w:tc>
      </w:tr>
      <w:tr w:rsidR="000F2B5A" w:rsidRPr="0070518F" w:rsidTr="00836010">
        <w:tc>
          <w:tcPr>
            <w:tcW w:w="1662" w:type="dxa"/>
            <w:tcBorders>
              <w:left w:val="single" w:sz="12" w:space="0" w:color="auto"/>
              <w:bottom w:val="single" w:sz="12" w:space="0" w:color="auto"/>
            </w:tcBorders>
          </w:tcPr>
          <w:p w:rsidR="000F2B5A" w:rsidRPr="0070518F" w:rsidRDefault="000F2B5A" w:rsidP="00836010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bottom w:val="single" w:sz="12" w:space="0" w:color="auto"/>
            </w:tcBorders>
          </w:tcPr>
          <w:p w:rsidR="000F2B5A" w:rsidRPr="0070518F" w:rsidRDefault="000F2B5A" w:rsidP="00836010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Zajištění shody modulů NIPEZ s účinnou legislativou upravující zadávání veřejných zakázek v ČR a dalších požadavků dle souvisejících vládních strategií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0F2B5A" w:rsidRPr="0070518F" w:rsidRDefault="000F2B5A" w:rsidP="00836010">
            <w:pPr>
              <w:spacing w:before="60" w:after="6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Ministerstvo pro místní rozvoj</w:t>
            </w:r>
          </w:p>
        </w:tc>
        <w:tc>
          <w:tcPr>
            <w:tcW w:w="168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F2B5A" w:rsidRPr="0070518F" w:rsidRDefault="000F2B5A" w:rsidP="00836010">
            <w:pPr>
              <w:spacing w:before="60" w:after="60" w:line="240" w:lineRule="auto"/>
              <w:ind w:firstLine="14"/>
              <w:jc w:val="both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Průběžně</w:t>
            </w:r>
          </w:p>
        </w:tc>
      </w:tr>
      <w:tr w:rsidR="000F2B5A" w:rsidRPr="0070518F" w:rsidTr="00836010">
        <w:tc>
          <w:tcPr>
            <w:tcW w:w="1662" w:type="dxa"/>
            <w:tcBorders>
              <w:left w:val="single" w:sz="12" w:space="0" w:color="auto"/>
              <w:bottom w:val="single" w:sz="12" w:space="0" w:color="auto"/>
            </w:tcBorders>
          </w:tcPr>
          <w:p w:rsidR="000F2B5A" w:rsidRPr="0070518F" w:rsidRDefault="000F2B5A" w:rsidP="00836010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3807" w:type="dxa"/>
            <w:tcBorders>
              <w:bottom w:val="single" w:sz="12" w:space="0" w:color="auto"/>
            </w:tcBorders>
          </w:tcPr>
          <w:p w:rsidR="000F2B5A" w:rsidRPr="0070518F" w:rsidRDefault="000F2B5A" w:rsidP="00836010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Zajištění aktuálnosti a úplnosti dat v rámci Integrační komponenty NIPEZ (IK NIPEZ)</w:t>
            </w:r>
            <w:r w:rsidRPr="0070518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0F2B5A" w:rsidRPr="0070518F" w:rsidRDefault="000F2B5A" w:rsidP="00836010">
            <w:pPr>
              <w:spacing w:before="60" w:after="6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Ministerstvo pro místní rozvoj</w:t>
            </w:r>
          </w:p>
        </w:tc>
        <w:tc>
          <w:tcPr>
            <w:tcW w:w="168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F2B5A" w:rsidRPr="0070518F" w:rsidRDefault="000F2B5A" w:rsidP="00836010">
            <w:pPr>
              <w:spacing w:before="60" w:after="6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Průběžně</w:t>
            </w:r>
          </w:p>
        </w:tc>
      </w:tr>
      <w:tr w:rsidR="000F2B5A" w:rsidRPr="0070518F" w:rsidTr="00836010">
        <w:tc>
          <w:tcPr>
            <w:tcW w:w="1662" w:type="dxa"/>
            <w:tcBorders>
              <w:left w:val="single" w:sz="12" w:space="0" w:color="auto"/>
              <w:bottom w:val="single" w:sz="12" w:space="0" w:color="auto"/>
            </w:tcBorders>
          </w:tcPr>
          <w:p w:rsidR="000F2B5A" w:rsidRPr="0070518F" w:rsidRDefault="000F2B5A" w:rsidP="00836010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3807" w:type="dxa"/>
            <w:tcBorders>
              <w:bottom w:val="single" w:sz="12" w:space="0" w:color="auto"/>
            </w:tcBorders>
          </w:tcPr>
          <w:p w:rsidR="000F2B5A" w:rsidRPr="0070518F" w:rsidRDefault="000F2B5A" w:rsidP="00836010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Zajistit optimalizaci dalších modulů NIPEZ (Věstník veřejných zakázek, Informační systém o veřejných zakázkách)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0F2B5A" w:rsidRPr="0070518F" w:rsidRDefault="000F2B5A" w:rsidP="00836010">
            <w:pPr>
              <w:spacing w:before="60" w:after="6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Ministerstvo pro místní rozvoj</w:t>
            </w:r>
          </w:p>
        </w:tc>
        <w:tc>
          <w:tcPr>
            <w:tcW w:w="168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F2B5A" w:rsidRPr="0070518F" w:rsidRDefault="00D44860" w:rsidP="00836010">
            <w:pPr>
              <w:spacing w:before="60" w:after="6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31. 12. 201</w:t>
            </w:r>
            <w:r w:rsidRPr="0070518F">
              <w:rPr>
                <w:rFonts w:eastAsia="Times New Roman" w:cs="Arial"/>
                <w:sz w:val="20"/>
                <w:szCs w:val="20"/>
                <w:highlight w:val="yellow"/>
              </w:rPr>
              <w:t>9</w:t>
            </w:r>
          </w:p>
        </w:tc>
      </w:tr>
      <w:tr w:rsidR="000F2B5A" w:rsidRPr="0070518F" w:rsidTr="00836010">
        <w:tc>
          <w:tcPr>
            <w:tcW w:w="1662" w:type="dxa"/>
            <w:tcBorders>
              <w:left w:val="single" w:sz="12" w:space="0" w:color="auto"/>
              <w:bottom w:val="single" w:sz="12" w:space="0" w:color="auto"/>
            </w:tcBorders>
          </w:tcPr>
          <w:p w:rsidR="000F2B5A" w:rsidRPr="0070518F" w:rsidRDefault="000F2B5A" w:rsidP="00836010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3807" w:type="dxa"/>
            <w:tcBorders>
              <w:bottom w:val="single" w:sz="12" w:space="0" w:color="auto"/>
            </w:tcBorders>
          </w:tcPr>
          <w:p w:rsidR="000F2B5A" w:rsidRPr="0070518F" w:rsidRDefault="000F2B5A" w:rsidP="00836010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Vytvoření platformy pro jednotný přístup dodavatelů k veřejným zakázkám za účelem realizace elektronických úkonů, při zachování požadavků na naplnění individuálních potřeb zadavatelů používající IEN a NEN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0F2B5A" w:rsidRPr="0070518F" w:rsidRDefault="000F2B5A" w:rsidP="00836010">
            <w:pPr>
              <w:spacing w:before="60" w:after="6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Ministerstvo pro místní rozvoj</w:t>
            </w:r>
          </w:p>
        </w:tc>
        <w:tc>
          <w:tcPr>
            <w:tcW w:w="168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F2B5A" w:rsidRPr="0070518F" w:rsidRDefault="000F2B5A" w:rsidP="00836010">
            <w:pPr>
              <w:spacing w:before="60" w:after="6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31. 12. 2019</w:t>
            </w:r>
          </w:p>
        </w:tc>
      </w:tr>
      <w:tr w:rsidR="000F2B5A" w:rsidRPr="0070518F" w:rsidTr="00836010">
        <w:tc>
          <w:tcPr>
            <w:tcW w:w="16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0F2B5A" w:rsidRPr="0070518F" w:rsidRDefault="001C3DF7" w:rsidP="00836010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u w:val="single"/>
              </w:rPr>
            </w:pPr>
            <w:r w:rsidRPr="0070518F">
              <w:rPr>
                <w:rFonts w:eastAsia="Times New Roman" w:cs="Arial"/>
                <w:sz w:val="20"/>
                <w:szCs w:val="20"/>
                <w:u w:val="single"/>
              </w:rPr>
              <w:t>5</w:t>
            </w:r>
          </w:p>
        </w:tc>
        <w:tc>
          <w:tcPr>
            <w:tcW w:w="3807" w:type="dxa"/>
            <w:tcBorders>
              <w:bottom w:val="single" w:sz="12" w:space="0" w:color="auto"/>
            </w:tcBorders>
            <w:shd w:val="clear" w:color="auto" w:fill="FFFF00"/>
          </w:tcPr>
          <w:p w:rsidR="000F2B5A" w:rsidRPr="0070518F" w:rsidRDefault="000F2B5A" w:rsidP="00DC5BB7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Vytvořit centrální zdroj otevře</w:t>
            </w:r>
            <w:r w:rsidR="00DC5BB7" w:rsidRPr="0070518F">
              <w:rPr>
                <w:rFonts w:eastAsia="Times New Roman" w:cs="Arial"/>
                <w:sz w:val="20"/>
                <w:szCs w:val="20"/>
              </w:rPr>
              <w:t>n</w:t>
            </w:r>
            <w:r w:rsidRPr="0070518F">
              <w:rPr>
                <w:rFonts w:eastAsia="Times New Roman" w:cs="Arial"/>
                <w:sz w:val="20"/>
                <w:szCs w:val="20"/>
              </w:rPr>
              <w:t>ých dat včetně automatického procesu dohledu na kvalitu publikovaných dat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FFFF00"/>
          </w:tcPr>
          <w:p w:rsidR="000F2B5A" w:rsidRPr="0070518F" w:rsidRDefault="000F2B5A" w:rsidP="0083601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u w:val="single"/>
              </w:rPr>
            </w:pPr>
            <w:r w:rsidRPr="0070518F">
              <w:rPr>
                <w:rFonts w:eastAsia="Times New Roman" w:cs="Arial"/>
                <w:sz w:val="20"/>
                <w:szCs w:val="20"/>
                <w:u w:val="single"/>
              </w:rPr>
              <w:t>Ministerstvo pro místní rozvoj</w:t>
            </w:r>
          </w:p>
        </w:tc>
        <w:tc>
          <w:tcPr>
            <w:tcW w:w="168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2B5A" w:rsidRPr="0070518F" w:rsidRDefault="000F2B5A" w:rsidP="00836010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31. 12. 2019</w:t>
            </w:r>
          </w:p>
        </w:tc>
      </w:tr>
      <w:tr w:rsidR="000F2B5A" w:rsidRPr="0070518F" w:rsidTr="00836010">
        <w:tc>
          <w:tcPr>
            <w:tcW w:w="16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0F2B5A" w:rsidRPr="0070518F" w:rsidRDefault="001C3DF7" w:rsidP="00836010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u w:val="single"/>
              </w:rPr>
            </w:pPr>
            <w:r w:rsidRPr="0070518F">
              <w:rPr>
                <w:rFonts w:eastAsia="Times New Roman" w:cs="Arial"/>
                <w:sz w:val="20"/>
                <w:szCs w:val="20"/>
                <w:u w:val="single"/>
              </w:rPr>
              <w:t>6</w:t>
            </w:r>
          </w:p>
        </w:tc>
        <w:tc>
          <w:tcPr>
            <w:tcW w:w="3807" w:type="dxa"/>
            <w:tcBorders>
              <w:bottom w:val="single" w:sz="12" w:space="0" w:color="auto"/>
            </w:tcBorders>
            <w:shd w:val="clear" w:color="auto" w:fill="FFFF00"/>
          </w:tcPr>
          <w:p w:rsidR="000F2B5A" w:rsidRPr="0070518F" w:rsidRDefault="000F2B5A" w:rsidP="00836010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Vytvořit jednotný systém rolí a oprávnění v rámci IS NIPEZ, a to jak pro zadavatele, tak dodavatele.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FFFF00"/>
          </w:tcPr>
          <w:p w:rsidR="000F2B5A" w:rsidRPr="0070518F" w:rsidRDefault="000F2B5A" w:rsidP="0083601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u w:val="single"/>
              </w:rPr>
            </w:pPr>
            <w:r w:rsidRPr="0070518F">
              <w:rPr>
                <w:rFonts w:eastAsia="Times New Roman" w:cs="Arial"/>
                <w:sz w:val="20"/>
                <w:szCs w:val="20"/>
                <w:u w:val="single"/>
              </w:rPr>
              <w:t>Ministerstvo pro místní rozvoj</w:t>
            </w:r>
          </w:p>
        </w:tc>
        <w:tc>
          <w:tcPr>
            <w:tcW w:w="168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2B5A" w:rsidRPr="0070518F" w:rsidRDefault="000F2B5A" w:rsidP="00836010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31. 12. 2019</w:t>
            </w:r>
          </w:p>
        </w:tc>
      </w:tr>
      <w:tr w:rsidR="000F2B5A" w:rsidRPr="0070518F" w:rsidTr="00836010">
        <w:tc>
          <w:tcPr>
            <w:tcW w:w="16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0F2B5A" w:rsidRPr="0070518F" w:rsidRDefault="001C3DF7" w:rsidP="00836010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  <w:u w:val="single"/>
              </w:rPr>
            </w:pPr>
            <w:r w:rsidRPr="0070518F">
              <w:rPr>
                <w:rFonts w:eastAsia="Times New Roman" w:cs="Arial"/>
                <w:sz w:val="20"/>
                <w:szCs w:val="20"/>
                <w:u w:val="single"/>
              </w:rPr>
              <w:t>7</w:t>
            </w:r>
          </w:p>
        </w:tc>
        <w:tc>
          <w:tcPr>
            <w:tcW w:w="3807" w:type="dxa"/>
            <w:tcBorders>
              <w:bottom w:val="single" w:sz="12" w:space="0" w:color="auto"/>
            </w:tcBorders>
            <w:shd w:val="clear" w:color="auto" w:fill="FFFF00"/>
          </w:tcPr>
          <w:p w:rsidR="000F2B5A" w:rsidRPr="0070518F" w:rsidRDefault="000F2B5A" w:rsidP="00836010">
            <w:pPr>
              <w:tabs>
                <w:tab w:val="left" w:pos="284"/>
              </w:tabs>
              <w:spacing w:before="60" w:after="6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Umožnění maximální možné automatické komunikace mezi IS NIPEZ a IS eGovernment včetně nastavení mechanismů průběžné kontroly správnosti dat.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FFFF00"/>
          </w:tcPr>
          <w:p w:rsidR="000F2B5A" w:rsidRPr="0070518F" w:rsidRDefault="000F2B5A" w:rsidP="00F736E9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u w:val="single"/>
              </w:rPr>
            </w:pPr>
            <w:r w:rsidRPr="0070518F">
              <w:rPr>
                <w:rFonts w:eastAsia="Times New Roman" w:cs="Arial"/>
                <w:sz w:val="20"/>
                <w:szCs w:val="20"/>
                <w:u w:val="single"/>
              </w:rPr>
              <w:t>Ministerstvo pro místní rozvoj, Ministerstv</w:t>
            </w:r>
            <w:r w:rsidR="00F736E9" w:rsidRPr="0070518F">
              <w:rPr>
                <w:rFonts w:eastAsia="Times New Roman" w:cs="Arial"/>
                <w:sz w:val="20"/>
                <w:szCs w:val="20"/>
                <w:u w:val="single"/>
              </w:rPr>
              <w:t>o vnitra, Ministerstvo financí</w:t>
            </w:r>
            <w:r w:rsidR="00174EDC" w:rsidRPr="0070518F">
              <w:rPr>
                <w:rFonts w:eastAsia="Times New Roman" w:cs="Arial"/>
                <w:sz w:val="20"/>
                <w:szCs w:val="20"/>
                <w:u w:val="single"/>
              </w:rPr>
              <w:t>, Ministerstvo spravedlnosti, o</w:t>
            </w:r>
            <w:r w:rsidR="00561487" w:rsidRPr="0070518F">
              <w:rPr>
                <w:rFonts w:eastAsia="Times New Roman" w:cs="Arial"/>
                <w:sz w:val="20"/>
                <w:szCs w:val="20"/>
                <w:u w:val="single"/>
              </w:rPr>
              <w:t>statní resorty dle potřeby.</w:t>
            </w:r>
          </w:p>
        </w:tc>
        <w:tc>
          <w:tcPr>
            <w:tcW w:w="168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F2B5A" w:rsidRPr="0070518F" w:rsidRDefault="000F2B5A" w:rsidP="00836010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31. 12. 2020</w:t>
            </w:r>
          </w:p>
        </w:tc>
      </w:tr>
      <w:tr w:rsidR="000F2B5A" w:rsidRPr="0070518F" w:rsidTr="00836010">
        <w:tc>
          <w:tcPr>
            <w:tcW w:w="93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/>
          </w:tcPr>
          <w:p w:rsidR="000F2B5A" w:rsidRPr="0070518F" w:rsidRDefault="000F2B5A" w:rsidP="00836010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0518F">
              <w:rPr>
                <w:rFonts w:eastAsia="Times New Roman" w:cs="Arial"/>
                <w:b/>
                <w:bCs/>
                <w:sz w:val="20"/>
                <w:szCs w:val="20"/>
              </w:rPr>
              <w:t>Strategický cíl 2 – Podpora elektronizace zadávání veřejných zakázek</w:t>
            </w:r>
          </w:p>
        </w:tc>
      </w:tr>
      <w:tr w:rsidR="000F2B5A" w:rsidRPr="0070518F" w:rsidTr="00836010">
        <w:tc>
          <w:tcPr>
            <w:tcW w:w="93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/>
          </w:tcPr>
          <w:p w:rsidR="000F2B5A" w:rsidRPr="0070518F" w:rsidRDefault="000F2B5A" w:rsidP="00836010">
            <w:pPr>
              <w:tabs>
                <w:tab w:val="left" w:pos="709"/>
              </w:tabs>
              <w:spacing w:before="60" w:after="6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0518F">
              <w:rPr>
                <w:rFonts w:eastAsia="Times New Roman" w:cs="Arial"/>
                <w:b/>
                <w:bCs/>
                <w:sz w:val="20"/>
                <w:szCs w:val="20"/>
              </w:rPr>
              <w:t>D. Opatření související s průběžným přizpůsobováním politiky elektronizace zadávání VZ politikám e-</w:t>
            </w:r>
            <w:proofErr w:type="spellStart"/>
            <w:r w:rsidRPr="0070518F">
              <w:rPr>
                <w:rFonts w:eastAsia="Times New Roman" w:cs="Arial"/>
                <w:b/>
                <w:bCs/>
                <w:sz w:val="20"/>
                <w:szCs w:val="20"/>
              </w:rPr>
              <w:t>governmentu</w:t>
            </w:r>
            <w:proofErr w:type="spellEnd"/>
          </w:p>
        </w:tc>
      </w:tr>
      <w:tr w:rsidR="000F2B5A" w:rsidRPr="0070518F" w:rsidTr="00836010">
        <w:tc>
          <w:tcPr>
            <w:tcW w:w="1662" w:type="dxa"/>
            <w:tcBorders>
              <w:left w:val="single" w:sz="12" w:space="0" w:color="auto"/>
            </w:tcBorders>
          </w:tcPr>
          <w:p w:rsidR="000F2B5A" w:rsidRPr="0070518F" w:rsidRDefault="000F2B5A" w:rsidP="00836010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3807" w:type="dxa"/>
          </w:tcPr>
          <w:p w:rsidR="000F2B5A" w:rsidRPr="0070518F" w:rsidRDefault="000F2B5A" w:rsidP="00836010">
            <w:pPr>
              <w:spacing w:before="60" w:after="6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 xml:space="preserve">Monitorování dílčích výstupů ostatních projektů </w:t>
            </w:r>
            <w:proofErr w:type="spellStart"/>
            <w:r w:rsidRPr="0070518F">
              <w:rPr>
                <w:rFonts w:eastAsia="Times New Roman" w:cs="Arial"/>
                <w:sz w:val="20"/>
                <w:szCs w:val="20"/>
              </w:rPr>
              <w:t>eGovernmentu</w:t>
            </w:r>
            <w:proofErr w:type="spellEnd"/>
            <w:r w:rsidRPr="0070518F">
              <w:rPr>
                <w:rFonts w:eastAsia="Times New Roman" w:cs="Arial"/>
                <w:sz w:val="20"/>
                <w:szCs w:val="20"/>
              </w:rPr>
              <w:t xml:space="preserve"> (zejména v oblasti dlouhodobého ukládání a archivace elektronických dokumentů) a zapracovávat je do právních či metodických předpisů či iniciovat vznik nových opatření</w:t>
            </w:r>
          </w:p>
        </w:tc>
        <w:tc>
          <w:tcPr>
            <w:tcW w:w="2236" w:type="dxa"/>
          </w:tcPr>
          <w:p w:rsidR="000F2B5A" w:rsidRPr="0070518F" w:rsidRDefault="000F2B5A" w:rsidP="0083601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 xml:space="preserve">Ministerstvo pro místní rozvoj ve spolupráci s Ministerstvem vnitra </w:t>
            </w:r>
          </w:p>
        </w:tc>
        <w:tc>
          <w:tcPr>
            <w:tcW w:w="1689" w:type="dxa"/>
            <w:gridSpan w:val="2"/>
            <w:tcBorders>
              <w:right w:val="single" w:sz="12" w:space="0" w:color="auto"/>
            </w:tcBorders>
          </w:tcPr>
          <w:p w:rsidR="000F2B5A" w:rsidRPr="0070518F" w:rsidRDefault="000F2B5A" w:rsidP="00836010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Průběžně</w:t>
            </w:r>
          </w:p>
        </w:tc>
      </w:tr>
      <w:tr w:rsidR="000F2B5A" w:rsidRPr="0070518F" w:rsidTr="00836010">
        <w:tc>
          <w:tcPr>
            <w:tcW w:w="93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/>
          </w:tcPr>
          <w:p w:rsidR="000F2B5A" w:rsidRPr="0070518F" w:rsidRDefault="000F2B5A" w:rsidP="00836010">
            <w:pPr>
              <w:tabs>
                <w:tab w:val="left" w:pos="709"/>
              </w:tabs>
              <w:spacing w:before="60" w:after="6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0518F">
              <w:rPr>
                <w:rFonts w:eastAsia="Times New Roman" w:cs="Arial"/>
                <w:b/>
                <w:bCs/>
                <w:sz w:val="20"/>
                <w:szCs w:val="20"/>
              </w:rPr>
              <w:t xml:space="preserve">E. Opatření související s podporou elektronizace procesů navazujících na zadávání VZ </w:t>
            </w:r>
          </w:p>
        </w:tc>
      </w:tr>
      <w:tr w:rsidR="000F2B5A" w:rsidRPr="0070518F" w:rsidTr="00836010">
        <w:tc>
          <w:tcPr>
            <w:tcW w:w="1662" w:type="dxa"/>
            <w:tcBorders>
              <w:left w:val="single" w:sz="12" w:space="0" w:color="auto"/>
            </w:tcBorders>
          </w:tcPr>
          <w:p w:rsidR="000F2B5A" w:rsidRPr="0070518F" w:rsidRDefault="000F2B5A" w:rsidP="00836010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3807" w:type="dxa"/>
          </w:tcPr>
          <w:p w:rsidR="000F2B5A" w:rsidRPr="0070518F" w:rsidRDefault="000F2B5A" w:rsidP="00836010">
            <w:pPr>
              <w:spacing w:before="60" w:after="6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 xml:space="preserve">Sledování legislativního prostředí elektronické fakturace s cílem využít legislativně technické výstupy v této oblasti pro národní řešení elektronizace veřejných </w:t>
            </w:r>
            <w:proofErr w:type="gramStart"/>
            <w:r w:rsidRPr="0070518F">
              <w:rPr>
                <w:rFonts w:eastAsia="Times New Roman" w:cs="Arial"/>
                <w:sz w:val="20"/>
                <w:szCs w:val="20"/>
              </w:rPr>
              <w:t>zakázek</w:t>
            </w:r>
            <w:proofErr w:type="gramEnd"/>
            <w:r w:rsidRPr="0070518F">
              <w:rPr>
                <w:rFonts w:eastAsia="Times New Roman" w:cs="Arial"/>
                <w:sz w:val="20"/>
                <w:szCs w:val="20"/>
              </w:rPr>
              <w:t xml:space="preserve"> a to zejména formou metodického usměrňování, zajištění vzdělávacích a </w:t>
            </w:r>
            <w:r w:rsidRPr="0070518F">
              <w:rPr>
                <w:rFonts w:eastAsia="Times New Roman" w:cs="Arial"/>
                <w:sz w:val="20"/>
                <w:szCs w:val="20"/>
              </w:rPr>
              <w:lastRenderedPageBreak/>
              <w:t>informačních aktivit nebo iniciací nových opatření</w:t>
            </w:r>
          </w:p>
        </w:tc>
        <w:tc>
          <w:tcPr>
            <w:tcW w:w="2236" w:type="dxa"/>
          </w:tcPr>
          <w:p w:rsidR="000F2B5A" w:rsidRPr="0070518F" w:rsidRDefault="000F2B5A" w:rsidP="0083601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lastRenderedPageBreak/>
              <w:t>Ministerstvo pro místní rozvoj ve spolupráci s Ministerstvem financí</w:t>
            </w:r>
          </w:p>
        </w:tc>
        <w:tc>
          <w:tcPr>
            <w:tcW w:w="1689" w:type="dxa"/>
            <w:gridSpan w:val="2"/>
            <w:tcBorders>
              <w:right w:val="single" w:sz="12" w:space="0" w:color="auto"/>
            </w:tcBorders>
          </w:tcPr>
          <w:p w:rsidR="000F2B5A" w:rsidRPr="0070518F" w:rsidRDefault="000F2B5A" w:rsidP="00836010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Průběžně</w:t>
            </w:r>
          </w:p>
        </w:tc>
      </w:tr>
      <w:tr w:rsidR="000F2B5A" w:rsidRPr="0070518F" w:rsidTr="00836010">
        <w:tc>
          <w:tcPr>
            <w:tcW w:w="93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/>
          </w:tcPr>
          <w:p w:rsidR="000F2B5A" w:rsidRPr="0070518F" w:rsidRDefault="000F2B5A" w:rsidP="00836010">
            <w:pPr>
              <w:tabs>
                <w:tab w:val="left" w:pos="709"/>
              </w:tabs>
              <w:spacing w:before="60" w:after="6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0518F">
              <w:rPr>
                <w:rFonts w:eastAsia="Times New Roman" w:cs="Arial"/>
                <w:b/>
                <w:bCs/>
                <w:sz w:val="20"/>
                <w:szCs w:val="20"/>
              </w:rPr>
              <w:t>F. Opatření související se zapojením ČR do metodické a standardizační činnosti EU</w:t>
            </w:r>
          </w:p>
        </w:tc>
      </w:tr>
      <w:tr w:rsidR="000F2B5A" w:rsidRPr="0070518F" w:rsidTr="00836010">
        <w:tc>
          <w:tcPr>
            <w:tcW w:w="1662" w:type="dxa"/>
            <w:tcBorders>
              <w:left w:val="single" w:sz="12" w:space="0" w:color="auto"/>
            </w:tcBorders>
          </w:tcPr>
          <w:p w:rsidR="000F2B5A" w:rsidRPr="0070518F" w:rsidRDefault="000F2B5A" w:rsidP="00836010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3807" w:type="dxa"/>
          </w:tcPr>
          <w:p w:rsidR="000F2B5A" w:rsidRPr="0070518F" w:rsidRDefault="000F2B5A" w:rsidP="00836010">
            <w:pPr>
              <w:spacing w:before="60" w:after="6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 xml:space="preserve">Sledování vývoje asociace </w:t>
            </w:r>
            <w:proofErr w:type="spellStart"/>
            <w:r w:rsidRPr="0070518F">
              <w:rPr>
                <w:rFonts w:eastAsia="Times New Roman" w:cs="Arial"/>
                <w:sz w:val="20"/>
                <w:szCs w:val="20"/>
              </w:rPr>
              <w:t>OpenPEPPOL</w:t>
            </w:r>
            <w:proofErr w:type="spellEnd"/>
            <w:r w:rsidRPr="0070518F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70518F">
              <w:rPr>
                <w:rFonts w:eastAsia="Times New Roman" w:cs="Arial"/>
                <w:sz w:val="20"/>
                <w:szCs w:val="20"/>
              </w:rPr>
              <w:br/>
              <w:t xml:space="preserve">a případné zajištění aktivní účasti MMR </w:t>
            </w:r>
            <w:r w:rsidRPr="0070518F">
              <w:rPr>
                <w:rFonts w:eastAsia="Times New Roman" w:cs="Arial"/>
                <w:sz w:val="20"/>
                <w:szCs w:val="20"/>
              </w:rPr>
              <w:br/>
              <w:t>s cílem využít získané poznatky pro národní řešení elektronizace veřejných zakázek.</w:t>
            </w:r>
          </w:p>
        </w:tc>
        <w:tc>
          <w:tcPr>
            <w:tcW w:w="2236" w:type="dxa"/>
          </w:tcPr>
          <w:p w:rsidR="000F2B5A" w:rsidRPr="0070518F" w:rsidRDefault="000F2B5A" w:rsidP="0083601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 xml:space="preserve">Ministerstvo pro místní rozvoj </w:t>
            </w:r>
          </w:p>
        </w:tc>
        <w:tc>
          <w:tcPr>
            <w:tcW w:w="1689" w:type="dxa"/>
            <w:gridSpan w:val="2"/>
            <w:tcBorders>
              <w:right w:val="single" w:sz="12" w:space="0" w:color="auto"/>
            </w:tcBorders>
          </w:tcPr>
          <w:p w:rsidR="000F2B5A" w:rsidRPr="0070518F" w:rsidRDefault="000F2B5A" w:rsidP="00836010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Průběžně</w:t>
            </w:r>
          </w:p>
        </w:tc>
      </w:tr>
      <w:tr w:rsidR="000F2B5A" w:rsidRPr="0070518F" w:rsidTr="00836010">
        <w:tc>
          <w:tcPr>
            <w:tcW w:w="1662" w:type="dxa"/>
            <w:tcBorders>
              <w:left w:val="single" w:sz="12" w:space="0" w:color="auto"/>
            </w:tcBorders>
          </w:tcPr>
          <w:p w:rsidR="000F2B5A" w:rsidRPr="0070518F" w:rsidRDefault="000F2B5A" w:rsidP="00836010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3807" w:type="dxa"/>
          </w:tcPr>
          <w:p w:rsidR="000F2B5A" w:rsidRPr="0070518F" w:rsidRDefault="000F2B5A" w:rsidP="00836010">
            <w:pPr>
              <w:spacing w:before="60" w:after="6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 xml:space="preserve">Sledování vývoje projektu </w:t>
            </w:r>
            <w:proofErr w:type="spellStart"/>
            <w:r w:rsidRPr="0070518F">
              <w:rPr>
                <w:rFonts w:eastAsia="Times New Roman" w:cs="Arial"/>
                <w:sz w:val="20"/>
                <w:szCs w:val="20"/>
              </w:rPr>
              <w:t>eCertis</w:t>
            </w:r>
            <w:proofErr w:type="spellEnd"/>
            <w:r w:rsidRPr="0070518F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70518F">
              <w:rPr>
                <w:rFonts w:eastAsia="Times New Roman" w:cs="Arial"/>
                <w:sz w:val="20"/>
                <w:szCs w:val="20"/>
              </w:rPr>
              <w:br/>
              <w:t>s cílem využít výstupy tohoto projektu pro národní řešení elektronizace veřejných zakázek</w:t>
            </w:r>
          </w:p>
        </w:tc>
        <w:tc>
          <w:tcPr>
            <w:tcW w:w="2236" w:type="dxa"/>
          </w:tcPr>
          <w:p w:rsidR="000F2B5A" w:rsidRPr="0070518F" w:rsidRDefault="000F2B5A" w:rsidP="0083601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 xml:space="preserve">Ministerstvo pro místní rozvoj </w:t>
            </w:r>
          </w:p>
        </w:tc>
        <w:tc>
          <w:tcPr>
            <w:tcW w:w="1689" w:type="dxa"/>
            <w:gridSpan w:val="2"/>
            <w:tcBorders>
              <w:right w:val="single" w:sz="12" w:space="0" w:color="auto"/>
            </w:tcBorders>
          </w:tcPr>
          <w:p w:rsidR="000F2B5A" w:rsidRPr="0070518F" w:rsidRDefault="000F2B5A" w:rsidP="007838BE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31. 10. 201</w:t>
            </w:r>
            <w:r w:rsidR="007838BE" w:rsidRPr="0070518F">
              <w:rPr>
                <w:rFonts w:eastAsia="Times New Roman" w:cs="Arial"/>
                <w:sz w:val="20"/>
                <w:szCs w:val="20"/>
                <w:highlight w:val="yellow"/>
              </w:rPr>
              <w:t>9</w:t>
            </w:r>
          </w:p>
        </w:tc>
      </w:tr>
      <w:tr w:rsidR="000F2B5A" w:rsidRPr="0070518F" w:rsidTr="00836010">
        <w:tc>
          <w:tcPr>
            <w:tcW w:w="1662" w:type="dxa"/>
            <w:tcBorders>
              <w:left w:val="single" w:sz="12" w:space="0" w:color="auto"/>
            </w:tcBorders>
          </w:tcPr>
          <w:p w:rsidR="000F2B5A" w:rsidRPr="0070518F" w:rsidRDefault="000F2B5A" w:rsidP="00836010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3807" w:type="dxa"/>
          </w:tcPr>
          <w:p w:rsidR="000F2B5A" w:rsidRPr="0070518F" w:rsidRDefault="000F2B5A" w:rsidP="00836010">
            <w:pPr>
              <w:spacing w:before="60" w:after="6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Průběžný monitoring zahraničních „</w:t>
            </w:r>
            <w:proofErr w:type="spellStart"/>
            <w:r w:rsidRPr="0070518F">
              <w:rPr>
                <w:rFonts w:eastAsia="Times New Roman" w:cs="Arial"/>
                <w:sz w:val="20"/>
                <w:szCs w:val="20"/>
              </w:rPr>
              <w:t>best</w:t>
            </w:r>
            <w:proofErr w:type="spellEnd"/>
            <w:r w:rsidRPr="0070518F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Pr="0070518F">
              <w:rPr>
                <w:rFonts w:eastAsia="Times New Roman" w:cs="Arial"/>
                <w:sz w:val="20"/>
                <w:szCs w:val="20"/>
              </w:rPr>
              <w:t>practice</w:t>
            </w:r>
            <w:proofErr w:type="spellEnd"/>
            <w:r w:rsidRPr="0070518F">
              <w:rPr>
                <w:rFonts w:eastAsia="Times New Roman" w:cs="Arial"/>
                <w:sz w:val="20"/>
                <w:szCs w:val="20"/>
              </w:rPr>
              <w:t xml:space="preserve">“ v oblasti elektronizace zadávání a posouzení možné implementace nejlepších řešení </w:t>
            </w:r>
            <w:r w:rsidR="000D3A51" w:rsidRPr="0070518F">
              <w:rPr>
                <w:rFonts w:eastAsia="Times New Roman" w:cs="Arial"/>
                <w:sz w:val="20"/>
                <w:szCs w:val="20"/>
              </w:rPr>
              <w:t>do legislativního prostředí ČR.</w:t>
            </w:r>
          </w:p>
        </w:tc>
        <w:tc>
          <w:tcPr>
            <w:tcW w:w="2236" w:type="dxa"/>
          </w:tcPr>
          <w:p w:rsidR="000F2B5A" w:rsidRPr="0070518F" w:rsidRDefault="000F2B5A" w:rsidP="0083601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 xml:space="preserve">Ministerstvo pro místní rozvoj </w:t>
            </w:r>
          </w:p>
        </w:tc>
        <w:tc>
          <w:tcPr>
            <w:tcW w:w="1689" w:type="dxa"/>
            <w:gridSpan w:val="2"/>
            <w:tcBorders>
              <w:right w:val="single" w:sz="12" w:space="0" w:color="auto"/>
            </w:tcBorders>
          </w:tcPr>
          <w:p w:rsidR="000F2B5A" w:rsidRPr="0070518F" w:rsidRDefault="000F2B5A" w:rsidP="00836010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Průběžně</w:t>
            </w:r>
          </w:p>
        </w:tc>
      </w:tr>
      <w:tr w:rsidR="000F2B5A" w:rsidRPr="0070518F" w:rsidTr="00836010">
        <w:tc>
          <w:tcPr>
            <w:tcW w:w="93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/>
          </w:tcPr>
          <w:p w:rsidR="000F2B5A" w:rsidRPr="0070518F" w:rsidRDefault="000F2B5A" w:rsidP="00836010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0518F">
              <w:rPr>
                <w:rFonts w:eastAsia="Times New Roman" w:cs="Arial"/>
                <w:b/>
                <w:bCs/>
                <w:sz w:val="20"/>
                <w:szCs w:val="20"/>
              </w:rPr>
              <w:t>Strategický cíl 3 Implementace opatření související s elektronizací veřejných zakázek</w:t>
            </w:r>
          </w:p>
        </w:tc>
      </w:tr>
      <w:tr w:rsidR="000F2B5A" w:rsidRPr="0070518F" w:rsidTr="00836010">
        <w:tc>
          <w:tcPr>
            <w:tcW w:w="93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/>
          </w:tcPr>
          <w:p w:rsidR="000F2B5A" w:rsidRPr="0070518F" w:rsidRDefault="000F2B5A" w:rsidP="00836010">
            <w:pPr>
              <w:tabs>
                <w:tab w:val="left" w:pos="709"/>
              </w:tabs>
              <w:spacing w:before="60" w:after="6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0518F">
              <w:rPr>
                <w:rFonts w:eastAsia="Times New Roman" w:cs="Arial"/>
                <w:b/>
                <w:bCs/>
                <w:sz w:val="20"/>
                <w:szCs w:val="20"/>
              </w:rPr>
              <w:t>H. Opatření v oblasti elektronického zadávání veřejných zakázek související s kybernetickou bezpečností</w:t>
            </w:r>
          </w:p>
        </w:tc>
      </w:tr>
      <w:tr w:rsidR="000F2B5A" w:rsidRPr="0070518F" w:rsidTr="00836010">
        <w:tc>
          <w:tcPr>
            <w:tcW w:w="1662" w:type="dxa"/>
            <w:tcBorders>
              <w:left w:val="single" w:sz="12" w:space="0" w:color="auto"/>
            </w:tcBorders>
          </w:tcPr>
          <w:p w:rsidR="000F2B5A" w:rsidRPr="0070518F" w:rsidRDefault="000F2B5A" w:rsidP="00836010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3807" w:type="dxa"/>
          </w:tcPr>
          <w:p w:rsidR="000F2B5A" w:rsidRPr="0070518F" w:rsidRDefault="000F2B5A" w:rsidP="00836010">
            <w:pPr>
              <w:spacing w:before="60" w:after="6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 xml:space="preserve">Sledování legislativního prostředí kybernetické bezpečnosti s cílem využít legislativně technické výstupy v této oblasti pro národní řešení elektronizace veřejných </w:t>
            </w:r>
            <w:proofErr w:type="gramStart"/>
            <w:r w:rsidRPr="0070518F">
              <w:rPr>
                <w:rFonts w:eastAsia="Times New Roman" w:cs="Arial"/>
                <w:sz w:val="20"/>
                <w:szCs w:val="20"/>
              </w:rPr>
              <w:t>zakázek</w:t>
            </w:r>
            <w:proofErr w:type="gramEnd"/>
            <w:r w:rsidRPr="0070518F">
              <w:rPr>
                <w:rFonts w:eastAsia="Times New Roman" w:cs="Arial"/>
                <w:sz w:val="20"/>
                <w:szCs w:val="20"/>
              </w:rPr>
              <w:t xml:space="preserve"> a to zejména formou metodického usměrňování, zajištění vzdělávacích a informačních aktivit</w:t>
            </w:r>
            <w:r w:rsidRPr="0070518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0518F">
              <w:rPr>
                <w:rFonts w:eastAsia="Times New Roman" w:cs="Arial"/>
                <w:sz w:val="20"/>
                <w:szCs w:val="20"/>
              </w:rPr>
              <w:t>nebo iniciací nových opatření</w:t>
            </w:r>
          </w:p>
        </w:tc>
        <w:tc>
          <w:tcPr>
            <w:tcW w:w="2236" w:type="dxa"/>
          </w:tcPr>
          <w:p w:rsidR="000F2B5A" w:rsidRPr="0070518F" w:rsidRDefault="000F2B5A" w:rsidP="0083601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Ministerstvo pro místní rozvoj ve spolupráci s Ministerstvem vnitra</w:t>
            </w:r>
          </w:p>
        </w:tc>
        <w:tc>
          <w:tcPr>
            <w:tcW w:w="1689" w:type="dxa"/>
            <w:gridSpan w:val="2"/>
            <w:tcBorders>
              <w:right w:val="single" w:sz="12" w:space="0" w:color="auto"/>
            </w:tcBorders>
          </w:tcPr>
          <w:p w:rsidR="000F2B5A" w:rsidRPr="0070518F" w:rsidRDefault="000F2B5A" w:rsidP="00836010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Průběžně</w:t>
            </w:r>
          </w:p>
        </w:tc>
      </w:tr>
      <w:tr w:rsidR="000F2B5A" w:rsidRPr="0070518F" w:rsidTr="00836010">
        <w:tc>
          <w:tcPr>
            <w:tcW w:w="939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F2B5A" w:rsidRPr="0070518F" w:rsidRDefault="000F2B5A" w:rsidP="00836010">
            <w:pPr>
              <w:tabs>
                <w:tab w:val="left" w:pos="709"/>
              </w:tabs>
              <w:spacing w:before="60" w:after="6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b/>
                <w:bCs/>
                <w:sz w:val="20"/>
                <w:szCs w:val="20"/>
              </w:rPr>
              <w:t xml:space="preserve">G. Opatření související s implementací Evropského nařízení </w:t>
            </w:r>
            <w:proofErr w:type="spellStart"/>
            <w:r w:rsidRPr="0070518F">
              <w:rPr>
                <w:rFonts w:eastAsia="Times New Roman" w:cs="Arial"/>
                <w:b/>
                <w:bCs/>
                <w:sz w:val="20"/>
                <w:szCs w:val="20"/>
              </w:rPr>
              <w:t>eIDAS</w:t>
            </w:r>
            <w:proofErr w:type="spellEnd"/>
          </w:p>
        </w:tc>
      </w:tr>
      <w:tr w:rsidR="000F2B5A" w:rsidRPr="0070518F" w:rsidTr="00836010">
        <w:tc>
          <w:tcPr>
            <w:tcW w:w="1662" w:type="dxa"/>
            <w:tcBorders>
              <w:left w:val="single" w:sz="12" w:space="0" w:color="auto"/>
              <w:right w:val="single" w:sz="12" w:space="0" w:color="auto"/>
            </w:tcBorders>
          </w:tcPr>
          <w:p w:rsidR="000F2B5A" w:rsidRPr="0070518F" w:rsidRDefault="000F2B5A" w:rsidP="00836010">
            <w:pPr>
              <w:spacing w:before="60" w:after="6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left w:val="single" w:sz="12" w:space="0" w:color="auto"/>
              <w:right w:val="single" w:sz="12" w:space="0" w:color="auto"/>
            </w:tcBorders>
          </w:tcPr>
          <w:p w:rsidR="000F2B5A" w:rsidRPr="0070518F" w:rsidRDefault="000F2B5A" w:rsidP="00836010">
            <w:pPr>
              <w:spacing w:before="60" w:after="6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 xml:space="preserve">Sledování implementace </w:t>
            </w:r>
            <w:proofErr w:type="spellStart"/>
            <w:r w:rsidRPr="0070518F">
              <w:rPr>
                <w:rFonts w:eastAsia="Times New Roman" w:cs="Arial"/>
                <w:sz w:val="20"/>
                <w:szCs w:val="20"/>
              </w:rPr>
              <w:t>eIDAS</w:t>
            </w:r>
            <w:proofErr w:type="spellEnd"/>
            <w:r w:rsidRPr="0070518F">
              <w:rPr>
                <w:rFonts w:eastAsia="Times New Roman" w:cs="Arial"/>
                <w:sz w:val="20"/>
                <w:szCs w:val="20"/>
              </w:rPr>
              <w:t xml:space="preserve"> s cílem využít legislativně technické výstupy v této oblasti pro národní řešení elektronizace veřejných </w:t>
            </w:r>
            <w:proofErr w:type="gramStart"/>
            <w:r w:rsidRPr="0070518F">
              <w:rPr>
                <w:rFonts w:eastAsia="Times New Roman" w:cs="Arial"/>
                <w:sz w:val="20"/>
                <w:szCs w:val="20"/>
              </w:rPr>
              <w:t>zakázek</w:t>
            </w:r>
            <w:proofErr w:type="gramEnd"/>
            <w:r w:rsidRPr="0070518F">
              <w:rPr>
                <w:rFonts w:eastAsia="Times New Roman" w:cs="Arial"/>
                <w:sz w:val="20"/>
                <w:szCs w:val="20"/>
              </w:rPr>
              <w:t xml:space="preserve"> a to zejména formou změny příslušných právních předpisů, metodického usměrňování, zajištění vzdělávacích a informačních aktivit nebo iniciací nových opatření</w:t>
            </w:r>
          </w:p>
        </w:tc>
        <w:tc>
          <w:tcPr>
            <w:tcW w:w="231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F2B5A" w:rsidRPr="0070518F" w:rsidRDefault="000F2B5A" w:rsidP="00836010">
            <w:pPr>
              <w:spacing w:before="60" w:after="6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Ministerstvo vnitra ve spolupráci s dotčenými resorty</w:t>
            </w:r>
          </w:p>
        </w:tc>
        <w:tc>
          <w:tcPr>
            <w:tcW w:w="1612" w:type="dxa"/>
            <w:tcBorders>
              <w:left w:val="single" w:sz="12" w:space="0" w:color="auto"/>
              <w:right w:val="single" w:sz="12" w:space="0" w:color="auto"/>
            </w:tcBorders>
          </w:tcPr>
          <w:p w:rsidR="000F2B5A" w:rsidRPr="0070518F" w:rsidRDefault="000F2B5A" w:rsidP="00836010">
            <w:pPr>
              <w:spacing w:before="120" w:after="12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30. 9. 201</w:t>
            </w:r>
            <w:r w:rsidR="007838BE" w:rsidRPr="0070518F">
              <w:rPr>
                <w:rFonts w:eastAsia="Times New Roman" w:cs="Arial"/>
                <w:sz w:val="20"/>
                <w:szCs w:val="20"/>
                <w:highlight w:val="yellow"/>
              </w:rPr>
              <w:t>9</w:t>
            </w:r>
          </w:p>
          <w:p w:rsidR="000F2B5A" w:rsidRPr="0070518F" w:rsidRDefault="000F2B5A" w:rsidP="00836010">
            <w:pPr>
              <w:spacing w:before="60" w:after="6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0F2B5A" w:rsidRPr="0070518F" w:rsidTr="00836010">
        <w:tc>
          <w:tcPr>
            <w:tcW w:w="93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/>
          </w:tcPr>
          <w:p w:rsidR="000F2B5A" w:rsidRPr="0070518F" w:rsidRDefault="000F2B5A" w:rsidP="00836010">
            <w:pPr>
              <w:tabs>
                <w:tab w:val="left" w:pos="709"/>
              </w:tabs>
              <w:spacing w:before="60" w:after="6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0518F">
              <w:rPr>
                <w:rFonts w:eastAsia="Times New Roman" w:cs="Arial"/>
                <w:b/>
                <w:bCs/>
                <w:sz w:val="20"/>
                <w:szCs w:val="20"/>
              </w:rPr>
              <w:t>I. Opatření související s realizací ostatních cílů Strategie elektronizace</w:t>
            </w:r>
          </w:p>
        </w:tc>
      </w:tr>
      <w:tr w:rsidR="000F2B5A" w:rsidRPr="0070518F" w:rsidTr="00836010">
        <w:tc>
          <w:tcPr>
            <w:tcW w:w="1662" w:type="dxa"/>
            <w:tcBorders>
              <w:left w:val="single" w:sz="12" w:space="0" w:color="auto"/>
            </w:tcBorders>
          </w:tcPr>
          <w:p w:rsidR="000F2B5A" w:rsidRPr="0070518F" w:rsidRDefault="000F2B5A" w:rsidP="00836010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3807" w:type="dxa"/>
          </w:tcPr>
          <w:p w:rsidR="000F2B5A" w:rsidRPr="0070518F" w:rsidRDefault="000F2B5A" w:rsidP="00836010">
            <w:pPr>
              <w:spacing w:before="60" w:after="6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Zajištění provozu Portálu o veřejných zakázkách a koncesích</w:t>
            </w:r>
          </w:p>
        </w:tc>
        <w:tc>
          <w:tcPr>
            <w:tcW w:w="2236" w:type="dxa"/>
          </w:tcPr>
          <w:p w:rsidR="000F2B5A" w:rsidRPr="0070518F" w:rsidRDefault="000F2B5A" w:rsidP="0083601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 xml:space="preserve">Ministerstvo pro místní rozvoj </w:t>
            </w:r>
          </w:p>
        </w:tc>
        <w:tc>
          <w:tcPr>
            <w:tcW w:w="1689" w:type="dxa"/>
            <w:gridSpan w:val="2"/>
            <w:tcBorders>
              <w:right w:val="single" w:sz="12" w:space="0" w:color="auto"/>
            </w:tcBorders>
          </w:tcPr>
          <w:p w:rsidR="000F2B5A" w:rsidRPr="0070518F" w:rsidRDefault="000F2B5A" w:rsidP="00836010">
            <w:pPr>
              <w:spacing w:before="60" w:after="60" w:line="240" w:lineRule="auto"/>
              <w:ind w:hanging="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Průběžně</w:t>
            </w:r>
          </w:p>
        </w:tc>
      </w:tr>
      <w:tr w:rsidR="000F2B5A" w:rsidRPr="0070518F" w:rsidTr="00836010">
        <w:tc>
          <w:tcPr>
            <w:tcW w:w="1662" w:type="dxa"/>
            <w:tcBorders>
              <w:left w:val="single" w:sz="12" w:space="0" w:color="auto"/>
            </w:tcBorders>
          </w:tcPr>
          <w:p w:rsidR="000F2B5A" w:rsidRPr="0070518F" w:rsidRDefault="000F2B5A" w:rsidP="00836010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3807" w:type="dxa"/>
          </w:tcPr>
          <w:p w:rsidR="000F2B5A" w:rsidRPr="0070518F" w:rsidRDefault="000F2B5A" w:rsidP="00836010">
            <w:pPr>
              <w:spacing w:before="60" w:after="6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Podporovat informačními akcemi zaměřenými na zavádění elektronického zadávání veřejných zakázek a poradenstvím zadavatele i dodavatele v oblasti zavádění elektronického zadávání veřejných zakázek do praxe</w:t>
            </w:r>
          </w:p>
        </w:tc>
        <w:tc>
          <w:tcPr>
            <w:tcW w:w="2236" w:type="dxa"/>
          </w:tcPr>
          <w:p w:rsidR="000F2B5A" w:rsidRPr="0070518F" w:rsidRDefault="000F2B5A" w:rsidP="0083601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 xml:space="preserve">Ministerstvo pro místní rozvoj </w:t>
            </w:r>
          </w:p>
        </w:tc>
        <w:tc>
          <w:tcPr>
            <w:tcW w:w="1689" w:type="dxa"/>
            <w:gridSpan w:val="2"/>
            <w:tcBorders>
              <w:right w:val="single" w:sz="12" w:space="0" w:color="auto"/>
            </w:tcBorders>
          </w:tcPr>
          <w:p w:rsidR="000F2B5A" w:rsidRPr="0070518F" w:rsidRDefault="000F2B5A" w:rsidP="00836010">
            <w:pPr>
              <w:spacing w:before="60" w:after="60" w:line="240" w:lineRule="auto"/>
              <w:ind w:hanging="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Průběžně</w:t>
            </w:r>
          </w:p>
        </w:tc>
      </w:tr>
      <w:tr w:rsidR="000F2B5A" w:rsidRPr="0070518F" w:rsidTr="00836010">
        <w:tc>
          <w:tcPr>
            <w:tcW w:w="1662" w:type="dxa"/>
            <w:tcBorders>
              <w:left w:val="single" w:sz="12" w:space="0" w:color="auto"/>
            </w:tcBorders>
          </w:tcPr>
          <w:p w:rsidR="000F2B5A" w:rsidRPr="0070518F" w:rsidRDefault="000F2B5A" w:rsidP="00836010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3807" w:type="dxa"/>
          </w:tcPr>
          <w:p w:rsidR="000F2B5A" w:rsidRPr="0070518F" w:rsidRDefault="000F2B5A" w:rsidP="00836010">
            <w:pPr>
              <w:spacing w:before="60" w:after="6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 xml:space="preserve">Revize a vytváření metodik k zákonu </w:t>
            </w:r>
            <w:r w:rsidRPr="0070518F">
              <w:rPr>
                <w:rFonts w:eastAsia="Times New Roman" w:cs="Arial"/>
                <w:sz w:val="20"/>
                <w:szCs w:val="20"/>
              </w:rPr>
              <w:br/>
              <w:t xml:space="preserve">o zadávání veřejných zakázek a </w:t>
            </w:r>
            <w:r w:rsidRPr="0070518F">
              <w:rPr>
                <w:rFonts w:eastAsia="Times New Roman" w:cs="Arial"/>
                <w:sz w:val="20"/>
                <w:szCs w:val="20"/>
              </w:rPr>
              <w:br/>
              <w:t xml:space="preserve">k jeho prováděcím předpisům s ohledem na výrazné posílení povinností zadavatelů </w:t>
            </w:r>
            <w:r w:rsidRPr="0070518F">
              <w:rPr>
                <w:rFonts w:eastAsia="Times New Roman" w:cs="Arial"/>
                <w:sz w:val="20"/>
                <w:szCs w:val="20"/>
              </w:rPr>
              <w:br/>
            </w:r>
            <w:r w:rsidRPr="0070518F">
              <w:rPr>
                <w:rFonts w:eastAsia="Times New Roman" w:cs="Arial"/>
                <w:sz w:val="20"/>
                <w:szCs w:val="20"/>
              </w:rPr>
              <w:lastRenderedPageBreak/>
              <w:t>v oblasti elektronického zadávání veřejných zakázek a vytvoření nového systému uveřejňování informací o veřejných zakázkách</w:t>
            </w:r>
          </w:p>
        </w:tc>
        <w:tc>
          <w:tcPr>
            <w:tcW w:w="2236" w:type="dxa"/>
          </w:tcPr>
          <w:p w:rsidR="000F2B5A" w:rsidRPr="0070518F" w:rsidRDefault="000F2B5A" w:rsidP="0083601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lastRenderedPageBreak/>
              <w:t xml:space="preserve">Ministerstvo pro místní rozvoj </w:t>
            </w:r>
          </w:p>
        </w:tc>
        <w:tc>
          <w:tcPr>
            <w:tcW w:w="1689" w:type="dxa"/>
            <w:gridSpan w:val="2"/>
            <w:tcBorders>
              <w:right w:val="single" w:sz="12" w:space="0" w:color="auto"/>
            </w:tcBorders>
          </w:tcPr>
          <w:p w:rsidR="000F2B5A" w:rsidRPr="0070518F" w:rsidRDefault="000F2B5A" w:rsidP="00836010">
            <w:pPr>
              <w:spacing w:before="60" w:after="60" w:line="240" w:lineRule="auto"/>
              <w:ind w:hanging="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Průběžně</w:t>
            </w:r>
          </w:p>
        </w:tc>
      </w:tr>
      <w:tr w:rsidR="000F2B5A" w:rsidRPr="0070518F" w:rsidTr="00836010">
        <w:tc>
          <w:tcPr>
            <w:tcW w:w="1662" w:type="dxa"/>
            <w:tcBorders>
              <w:left w:val="single" w:sz="12" w:space="0" w:color="auto"/>
            </w:tcBorders>
            <w:shd w:val="clear" w:color="auto" w:fill="FFFF00"/>
          </w:tcPr>
          <w:p w:rsidR="000F2B5A" w:rsidRPr="0070518F" w:rsidRDefault="000F2B5A" w:rsidP="00836010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3807" w:type="dxa"/>
            <w:shd w:val="clear" w:color="auto" w:fill="FFFF00"/>
          </w:tcPr>
          <w:p w:rsidR="000F2B5A" w:rsidRPr="0070518F" w:rsidRDefault="000F2B5A" w:rsidP="00836010">
            <w:pPr>
              <w:spacing w:before="60" w:after="6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Průběžně zvyšovat míru využívání strukturovaných dat a omezovat využívání nestrukturovaných dat při elektronickém zadávání veřejných zakázek</w:t>
            </w:r>
          </w:p>
        </w:tc>
        <w:tc>
          <w:tcPr>
            <w:tcW w:w="2236" w:type="dxa"/>
            <w:shd w:val="clear" w:color="auto" w:fill="FFFF00"/>
          </w:tcPr>
          <w:p w:rsidR="000F2B5A" w:rsidRPr="0070518F" w:rsidRDefault="000F2B5A" w:rsidP="0083601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Ministerstvo pro místní rozvoj</w:t>
            </w:r>
          </w:p>
        </w:tc>
        <w:tc>
          <w:tcPr>
            <w:tcW w:w="1689" w:type="dxa"/>
            <w:gridSpan w:val="2"/>
            <w:tcBorders>
              <w:right w:val="single" w:sz="12" w:space="0" w:color="auto"/>
            </w:tcBorders>
            <w:shd w:val="clear" w:color="auto" w:fill="FFFF00"/>
          </w:tcPr>
          <w:p w:rsidR="000F2B5A" w:rsidRPr="0070518F" w:rsidRDefault="000F2B5A" w:rsidP="00836010">
            <w:pPr>
              <w:spacing w:before="60" w:after="60" w:line="240" w:lineRule="auto"/>
              <w:ind w:hanging="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31. 12. 2020</w:t>
            </w:r>
          </w:p>
        </w:tc>
      </w:tr>
      <w:tr w:rsidR="000F2B5A" w:rsidRPr="0070518F" w:rsidTr="00836010">
        <w:tc>
          <w:tcPr>
            <w:tcW w:w="1662" w:type="dxa"/>
            <w:tcBorders>
              <w:left w:val="single" w:sz="12" w:space="0" w:color="auto"/>
            </w:tcBorders>
            <w:shd w:val="clear" w:color="auto" w:fill="FFFF00"/>
          </w:tcPr>
          <w:p w:rsidR="000F2B5A" w:rsidRPr="0070518F" w:rsidRDefault="000F2B5A" w:rsidP="00836010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3807" w:type="dxa"/>
            <w:shd w:val="clear" w:color="auto" w:fill="FFFF00"/>
          </w:tcPr>
          <w:p w:rsidR="001D77F4" w:rsidRPr="0070518F" w:rsidRDefault="001D77F4" w:rsidP="00836010">
            <w:pPr>
              <w:spacing w:before="60" w:after="6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1D77F4">
              <w:rPr>
                <w:rFonts w:eastAsia="Times New Roman" w:cs="Arial"/>
                <w:sz w:val="20"/>
                <w:szCs w:val="20"/>
              </w:rPr>
              <w:t>Posouzení možností zpřístupnění dokumentace k veřejným zakázkám kontrolním orgánům prostřednictvím účtů v IS NIPEZ</w:t>
            </w:r>
          </w:p>
        </w:tc>
        <w:tc>
          <w:tcPr>
            <w:tcW w:w="2236" w:type="dxa"/>
            <w:shd w:val="clear" w:color="auto" w:fill="FFFF00"/>
          </w:tcPr>
          <w:p w:rsidR="000F2B5A" w:rsidRPr="0070518F" w:rsidRDefault="000F2B5A" w:rsidP="0083601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Ministerstvo pro místní rozvoj, Ministerstvo vnitra, Ministerstvo financí, Úřad pro ochranu hospodářské soutěže</w:t>
            </w:r>
          </w:p>
        </w:tc>
        <w:tc>
          <w:tcPr>
            <w:tcW w:w="1689" w:type="dxa"/>
            <w:gridSpan w:val="2"/>
            <w:tcBorders>
              <w:right w:val="single" w:sz="12" w:space="0" w:color="auto"/>
            </w:tcBorders>
            <w:shd w:val="clear" w:color="auto" w:fill="FFFF00"/>
          </w:tcPr>
          <w:p w:rsidR="000F2B5A" w:rsidRPr="0070518F" w:rsidRDefault="001D77F4" w:rsidP="00836010">
            <w:pPr>
              <w:spacing w:before="60" w:after="60" w:line="240" w:lineRule="auto"/>
              <w:ind w:hanging="8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Průběžně</w:t>
            </w:r>
          </w:p>
        </w:tc>
      </w:tr>
      <w:tr w:rsidR="00836010" w:rsidRPr="0070518F" w:rsidTr="00836010">
        <w:tc>
          <w:tcPr>
            <w:tcW w:w="1662" w:type="dxa"/>
            <w:tcBorders>
              <w:left w:val="single" w:sz="12" w:space="0" w:color="auto"/>
            </w:tcBorders>
            <w:shd w:val="clear" w:color="auto" w:fill="FFFF00"/>
          </w:tcPr>
          <w:p w:rsidR="00836010" w:rsidRPr="0070518F" w:rsidRDefault="00836010" w:rsidP="00836010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3807" w:type="dxa"/>
            <w:shd w:val="clear" w:color="auto" w:fill="FFFF00"/>
          </w:tcPr>
          <w:p w:rsidR="00836010" w:rsidRPr="0070518F" w:rsidRDefault="00836010" w:rsidP="00836010">
            <w:pPr>
              <w:spacing w:before="60" w:after="6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Prosazování vyšší míry elektronického zadávání veřejných zakázek malého rozsahu</w:t>
            </w:r>
          </w:p>
        </w:tc>
        <w:tc>
          <w:tcPr>
            <w:tcW w:w="2236" w:type="dxa"/>
            <w:shd w:val="clear" w:color="auto" w:fill="FFFF00"/>
          </w:tcPr>
          <w:p w:rsidR="00836010" w:rsidRPr="0070518F" w:rsidRDefault="001C3DF7" w:rsidP="00836010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Ministerstvo pro místní rozvoj ve spolupráci s ostatními resorty</w:t>
            </w:r>
          </w:p>
        </w:tc>
        <w:tc>
          <w:tcPr>
            <w:tcW w:w="1689" w:type="dxa"/>
            <w:gridSpan w:val="2"/>
            <w:tcBorders>
              <w:right w:val="single" w:sz="12" w:space="0" w:color="auto"/>
            </w:tcBorders>
            <w:shd w:val="clear" w:color="auto" w:fill="FFFF00"/>
          </w:tcPr>
          <w:p w:rsidR="00836010" w:rsidRPr="0070518F" w:rsidRDefault="00836010" w:rsidP="00836010">
            <w:pPr>
              <w:spacing w:before="60" w:after="60" w:line="240" w:lineRule="auto"/>
              <w:ind w:hanging="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70518F">
              <w:rPr>
                <w:rFonts w:eastAsia="Times New Roman" w:cs="Arial"/>
                <w:sz w:val="20"/>
                <w:szCs w:val="20"/>
              </w:rPr>
              <w:t>31. 12. 2020</w:t>
            </w:r>
          </w:p>
        </w:tc>
      </w:tr>
      <w:bookmarkEnd w:id="0"/>
    </w:tbl>
    <w:p w:rsidR="009B5539" w:rsidRPr="009B5539" w:rsidRDefault="009B5539" w:rsidP="00F607BC">
      <w:pPr>
        <w:spacing w:before="120" w:after="0" w:line="240" w:lineRule="auto"/>
        <w:jc w:val="both"/>
        <w:rPr>
          <w:rFonts w:ascii="Futura Bk" w:eastAsia="Times New Roman" w:hAnsi="Futura Bk" w:cs="Times New Roman"/>
          <w:sz w:val="20"/>
          <w:szCs w:val="20"/>
          <w:highlight w:val="yellow"/>
        </w:rPr>
        <w:sectPr w:rsidR="009B5539" w:rsidRPr="009B5539" w:rsidSect="00643B92">
          <w:headerReference w:type="default" r:id="rId10"/>
          <w:footerReference w:type="default" r:id="rId11"/>
          <w:pgSz w:w="11907" w:h="16840" w:code="9"/>
          <w:pgMar w:top="1440" w:right="1134" w:bottom="1440" w:left="1559" w:header="709" w:footer="709" w:gutter="0"/>
          <w:pgNumType w:start="0"/>
          <w:cols w:space="708"/>
          <w:titlePg/>
          <w:docGrid w:linePitch="299"/>
        </w:sectPr>
      </w:pPr>
    </w:p>
    <w:p w:rsidR="00357854" w:rsidRDefault="00CA179C" w:rsidP="00C30D4C">
      <w:pPr>
        <w:pStyle w:val="Heading1"/>
        <w:jc w:val="both"/>
      </w:pPr>
      <w:bookmarkStart w:id="5" w:name="_Toc530127684"/>
      <w:r w:rsidRPr="00CA179C">
        <w:lastRenderedPageBreak/>
        <w:t>Příloha č. 1</w:t>
      </w:r>
      <w:r w:rsidR="00357854">
        <w:t xml:space="preserve"> – vstupy do aktualizace akčního plánu strategie elektronizace</w:t>
      </w:r>
      <w:bookmarkEnd w:id="5"/>
    </w:p>
    <w:p w:rsidR="00876B44" w:rsidRDefault="00876B44" w:rsidP="00C30D4C">
      <w:pPr>
        <w:jc w:val="both"/>
      </w:pPr>
      <w:r>
        <w:t>Následující příloha popisuje základní vstupy, s kterými bylo pracováno při aktualizaci akčního plánu strategie elektronizace veřejných zakázek. Jedná se o:</w:t>
      </w:r>
    </w:p>
    <w:p w:rsidR="00876B44" w:rsidRDefault="00876B44" w:rsidP="00C30D4C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 xml:space="preserve">Aktuální stav </w:t>
      </w:r>
      <w:proofErr w:type="spellStart"/>
      <w:r>
        <w:rPr>
          <w:rFonts w:cstheme="minorHAnsi"/>
        </w:rPr>
        <w:t>eProcurementu</w:t>
      </w:r>
      <w:proofErr w:type="spellEnd"/>
      <w:r>
        <w:rPr>
          <w:rFonts w:cstheme="minorHAnsi"/>
        </w:rPr>
        <w:t xml:space="preserve"> z pohledu dat o veřejných zakázkách</w:t>
      </w:r>
    </w:p>
    <w:p w:rsidR="00876B44" w:rsidRPr="00E14540" w:rsidRDefault="00876B44" w:rsidP="00C30D4C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t>Výstupy odborné skupiny pro strategii elektronizace veřejných zakázek</w:t>
      </w:r>
    </w:p>
    <w:p w:rsidR="00876B44" w:rsidRPr="00876B44" w:rsidRDefault="00876B44" w:rsidP="00C30D4C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t xml:space="preserve">Aktualizace </w:t>
      </w:r>
      <w:proofErr w:type="spellStart"/>
      <w:r>
        <w:t>enterprise</w:t>
      </w:r>
      <w:proofErr w:type="spellEnd"/>
      <w:r>
        <w:t xml:space="preserve"> architektury NIPEZ </w:t>
      </w:r>
    </w:p>
    <w:p w:rsidR="00876B44" w:rsidRDefault="00876B44" w:rsidP="00C30D4C">
      <w:pPr>
        <w:pStyle w:val="Heading2"/>
        <w:jc w:val="both"/>
      </w:pPr>
      <w:r>
        <w:t xml:space="preserve">Aktuální stav </w:t>
      </w:r>
      <w:proofErr w:type="spellStart"/>
      <w:r>
        <w:t>eProcurementu</w:t>
      </w:r>
      <w:proofErr w:type="spellEnd"/>
      <w:r>
        <w:t xml:space="preserve"> z pohledu dat o veřejných zakázkách</w:t>
      </w:r>
    </w:p>
    <w:p w:rsidR="00876B44" w:rsidRDefault="00876B44" w:rsidP="00C30D4C">
      <w:pPr>
        <w:jc w:val="both"/>
      </w:pPr>
      <w:r>
        <w:t xml:space="preserve">Na aktuální stav </w:t>
      </w:r>
      <w:proofErr w:type="spellStart"/>
      <w:r>
        <w:t>eProcurementu</w:t>
      </w:r>
      <w:proofErr w:type="spellEnd"/>
      <w:r>
        <w:t xml:space="preserve"> je nahlíženo z několika úhlů pohledu. Ty jsou:</w:t>
      </w:r>
    </w:p>
    <w:p w:rsidR="00876B44" w:rsidRDefault="00876B44" w:rsidP="00C30D4C">
      <w:pPr>
        <w:pStyle w:val="ListParagraph"/>
        <w:numPr>
          <w:ilvl w:val="0"/>
          <w:numId w:val="14"/>
        </w:numPr>
        <w:jc w:val="both"/>
      </w:pPr>
      <w:r>
        <w:t xml:space="preserve">Roztříštěnost dat o trhu veřejných zakázek (jež způsobuje hlavně nelehké vyhledávání obchodních příležitostí u dodavatelů) </w:t>
      </w:r>
    </w:p>
    <w:p w:rsidR="00876B44" w:rsidRDefault="00876B44" w:rsidP="00C30D4C">
      <w:pPr>
        <w:pStyle w:val="ListParagraph"/>
        <w:numPr>
          <w:ilvl w:val="0"/>
          <w:numId w:val="14"/>
        </w:numPr>
        <w:jc w:val="both"/>
      </w:pPr>
      <w:r>
        <w:t>Open data</w:t>
      </w:r>
    </w:p>
    <w:p w:rsidR="00876B44" w:rsidRDefault="00876B44" w:rsidP="00C30D4C">
      <w:pPr>
        <w:pStyle w:val="ListParagraph"/>
        <w:numPr>
          <w:ilvl w:val="0"/>
          <w:numId w:val="14"/>
        </w:numPr>
        <w:jc w:val="both"/>
      </w:pPr>
      <w:r>
        <w:t>Digitální Česko</w:t>
      </w:r>
    </w:p>
    <w:p w:rsidR="00876B44" w:rsidRPr="00876B44" w:rsidRDefault="00876B44" w:rsidP="00C30D4C">
      <w:pPr>
        <w:pStyle w:val="ListParagraph"/>
        <w:numPr>
          <w:ilvl w:val="0"/>
          <w:numId w:val="14"/>
        </w:numPr>
        <w:jc w:val="both"/>
      </w:pPr>
      <w:r>
        <w:t xml:space="preserve">Studie </w:t>
      </w:r>
      <w:proofErr w:type="spellStart"/>
      <w:r>
        <w:t>eProcurement</w:t>
      </w:r>
      <w:proofErr w:type="spellEnd"/>
      <w:r>
        <w:t xml:space="preserve"> ze strany Evropské komise</w:t>
      </w:r>
    </w:p>
    <w:p w:rsidR="00CA179C" w:rsidRDefault="00CA179C" w:rsidP="00C30D4C">
      <w:pPr>
        <w:pStyle w:val="Heading3"/>
        <w:jc w:val="both"/>
      </w:pPr>
      <w:r>
        <w:t>Roztříštěnost dat o trhu veřejných zakázek</w:t>
      </w:r>
    </w:p>
    <w:p w:rsidR="00CA179C" w:rsidRDefault="00CA179C" w:rsidP="00C30D4C">
      <w:pPr>
        <w:jc w:val="both"/>
      </w:pPr>
      <w:r>
        <w:t xml:space="preserve">Problematika roztříštěnosti, respektive dostupnosti dat a z toho vyplývající složitosti vyhledávání obchodních příležitostí, je řešena prostřednictvím elektronických nástrojů v rámci tzv. Národní infrastruktury pro elektronické zadávání veřejných zakázek (dále jako „NIPEZ“). </w:t>
      </w:r>
    </w:p>
    <w:p w:rsidR="00CA179C" w:rsidRDefault="00CA179C" w:rsidP="00C30D4C">
      <w:pPr>
        <w:jc w:val="both"/>
      </w:pPr>
      <w:r>
        <w:t>NIPEZ se skládá z několika informačních systémů. Konkrétně:</w:t>
      </w:r>
    </w:p>
    <w:p w:rsidR="00CA179C" w:rsidRDefault="00CA179C" w:rsidP="00C30D4C">
      <w:pPr>
        <w:pStyle w:val="ListParagraph"/>
        <w:numPr>
          <w:ilvl w:val="0"/>
          <w:numId w:val="1"/>
        </w:numPr>
        <w:jc w:val="both"/>
      </w:pPr>
      <w:r>
        <w:t>Věstník veřejných zakázek</w:t>
      </w:r>
    </w:p>
    <w:p w:rsidR="00CA179C" w:rsidRDefault="00CA179C" w:rsidP="00C04CE4">
      <w:pPr>
        <w:pStyle w:val="ListParagraph"/>
        <w:numPr>
          <w:ilvl w:val="0"/>
          <w:numId w:val="1"/>
        </w:numPr>
        <w:jc w:val="both"/>
      </w:pPr>
      <w:r>
        <w:t>Informační systém o veřejných zakázkách</w:t>
      </w:r>
    </w:p>
    <w:p w:rsidR="00CA179C" w:rsidRDefault="00CA179C" w:rsidP="00C04CE4">
      <w:pPr>
        <w:pStyle w:val="ListParagraph"/>
        <w:numPr>
          <w:ilvl w:val="0"/>
          <w:numId w:val="1"/>
        </w:numPr>
        <w:jc w:val="both"/>
      </w:pPr>
      <w:r>
        <w:t>Národní elektronický nástroj</w:t>
      </w:r>
    </w:p>
    <w:p w:rsidR="00CA179C" w:rsidRDefault="00CA179C" w:rsidP="00C04CE4">
      <w:pPr>
        <w:pStyle w:val="ListParagraph"/>
        <w:numPr>
          <w:ilvl w:val="0"/>
          <w:numId w:val="1"/>
        </w:numPr>
        <w:jc w:val="both"/>
      </w:pPr>
      <w:r>
        <w:t>Číselník NIPEZ</w:t>
      </w:r>
    </w:p>
    <w:p w:rsidR="00CA179C" w:rsidRDefault="00CA179C" w:rsidP="00C04CE4">
      <w:pPr>
        <w:pStyle w:val="ListParagraph"/>
        <w:numPr>
          <w:ilvl w:val="0"/>
          <w:numId w:val="1"/>
        </w:numPr>
        <w:jc w:val="both"/>
      </w:pPr>
      <w:r>
        <w:t>Individuální elektronické nástroje (provozovatelé jsou soukromí poskytovatelé elektronických nástrojů)</w:t>
      </w:r>
    </w:p>
    <w:p w:rsidR="00CA179C" w:rsidRDefault="00CA179C" w:rsidP="00CA179C">
      <w:pPr>
        <w:jc w:val="both"/>
      </w:pPr>
      <w:r>
        <w:t xml:space="preserve">Náležitosti těchto systémů stanovuje </w:t>
      </w:r>
      <w:r w:rsidR="00C0413E">
        <w:t>zákon č. 134/2016 Sb., o zadávání veřejných zakázek, ve znění pozdějších předpisů („</w:t>
      </w:r>
      <w:r>
        <w:t>ZZVZ</w:t>
      </w:r>
      <w:r w:rsidR="00C0413E">
        <w:t>“)</w:t>
      </w:r>
      <w:r>
        <w:t>, případně vyhláška č. 168/2016 Sb. o náležitostech profilu zadavatele a vyhláška č. 260/2016 Sb. o certifikaci elektronických nástrojů.</w:t>
      </w:r>
    </w:p>
    <w:p w:rsidR="00CA179C" w:rsidRDefault="00CA179C" w:rsidP="00CA179C">
      <w:pPr>
        <w:jc w:val="both"/>
      </w:pPr>
      <w:r>
        <w:t xml:space="preserve">V rámci Informačního systému o veřejných zakázkách eviduje MMR (jako Správce NIPEZ) informace </w:t>
      </w:r>
      <w:r>
        <w:br/>
        <w:t xml:space="preserve">o cca 350 mld. Kč bez DPH/rok, což činí </w:t>
      </w:r>
      <w:proofErr w:type="gramStart"/>
      <w:r>
        <w:t>66%</w:t>
      </w:r>
      <w:proofErr w:type="gramEnd"/>
      <w:r>
        <w:t xml:space="preserve"> trhu/rok. Evidovány jsou hlavně informace o veřej</w:t>
      </w:r>
      <w:r w:rsidR="004B24C8">
        <w:t xml:space="preserve">ných zakázkách zadávaných </w:t>
      </w:r>
      <w:proofErr w:type="gramStart"/>
      <w:r w:rsidR="004B24C8">
        <w:t>v  režimu</w:t>
      </w:r>
      <w:proofErr w:type="gramEnd"/>
      <w:r w:rsidR="004B24C8">
        <w:t xml:space="preserve"> zákona</w:t>
      </w:r>
      <w:r>
        <w:t>, tj. veřejné zakázky s předpokládanou hodnotou vyšší než 2 mil. Kč bez DPH u veřejných zakázek na dodávky a služby a vyšší než 6 mil. Kč u stavebních prací, a to z Věstníku veřejných zakázek a Národního elektronického nástroje. Národní elektronický nástroj zasílá i data o veřejných zakázkách malého rozsahu. Poměr veřejných zakázek (z pohledu finančního objemu) evidovaných v Informačním systému o veřejných zakázkách oproti celkové velikosti trhu zobrazuje následující graf:</w:t>
      </w:r>
    </w:p>
    <w:p w:rsidR="00CA179C" w:rsidRDefault="00CA179C" w:rsidP="00CA179C">
      <w:pPr>
        <w:pStyle w:val="Caption"/>
        <w:keepNext/>
        <w:jc w:val="both"/>
      </w:pPr>
      <w:bookmarkStart w:id="6" w:name="_Toc529971972"/>
      <w:r>
        <w:lastRenderedPageBreak/>
        <w:t xml:space="preserve">Graf </w:t>
      </w:r>
      <w:r>
        <w:rPr>
          <w:noProof/>
        </w:rPr>
        <w:fldChar w:fldCharType="begin"/>
      </w:r>
      <w:r>
        <w:rPr>
          <w:noProof/>
        </w:rPr>
        <w:instrText xml:space="preserve"> SEQ Graf \* ARABIC </w:instrText>
      </w:r>
      <w:r>
        <w:rPr>
          <w:noProof/>
        </w:rPr>
        <w:fldChar w:fldCharType="separate"/>
      </w:r>
      <w:r w:rsidR="009C58C3">
        <w:rPr>
          <w:noProof/>
        </w:rPr>
        <w:t>1</w:t>
      </w:r>
      <w:r>
        <w:rPr>
          <w:noProof/>
        </w:rPr>
        <w:fldChar w:fldCharType="end"/>
      </w:r>
      <w:r>
        <w:t xml:space="preserve"> Poměr veřejných zakázek evidovaných v ISVZ vůči celému trhu VZ</w:t>
      </w:r>
      <w:bookmarkEnd w:id="6"/>
    </w:p>
    <w:p w:rsidR="00CA179C" w:rsidRDefault="00CA179C" w:rsidP="00CA179C">
      <w:pPr>
        <w:keepNext/>
        <w:jc w:val="both"/>
      </w:pPr>
      <w:r>
        <w:rPr>
          <w:noProof/>
          <w:lang w:eastAsia="cs-CZ"/>
        </w:rPr>
        <w:drawing>
          <wp:inline distT="0" distB="0" distL="0" distR="0" wp14:anchorId="2EABE822" wp14:editId="13F53DDD">
            <wp:extent cx="4572000" cy="2743200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A179C" w:rsidRDefault="00CA179C" w:rsidP="00CA179C">
      <w:pPr>
        <w:pStyle w:val="Caption"/>
        <w:jc w:val="both"/>
      </w:pPr>
      <w:bookmarkStart w:id="7" w:name="_Toc527964484"/>
      <w:r>
        <w:t xml:space="preserve">Zdroj: </w:t>
      </w:r>
      <w:r>
        <w:rPr>
          <w:noProof/>
        </w:rPr>
        <w:fldChar w:fldCharType="begin"/>
      </w:r>
      <w:r>
        <w:rPr>
          <w:noProof/>
        </w:rPr>
        <w:instrText xml:space="preserve"> SEQ Zdroj: \* ARABIC </w:instrText>
      </w:r>
      <w:r>
        <w:rPr>
          <w:noProof/>
        </w:rPr>
        <w:fldChar w:fldCharType="separate"/>
      </w:r>
      <w:r w:rsidR="009C58C3">
        <w:rPr>
          <w:noProof/>
        </w:rPr>
        <w:t>2</w:t>
      </w:r>
      <w:r>
        <w:rPr>
          <w:noProof/>
        </w:rPr>
        <w:fldChar w:fldCharType="end"/>
      </w:r>
      <w:r>
        <w:t xml:space="preserve"> Výroční zpráva o trhu veřejných zakázek za rok 2017, počítáno jako rozdíl mezi daty evidovanými v ISVZ a daty státního závěrečného účtu</w:t>
      </w:r>
      <w:bookmarkEnd w:id="7"/>
    </w:p>
    <w:p w:rsidR="00CA179C" w:rsidRDefault="00CA179C" w:rsidP="00CA179C">
      <w:pPr>
        <w:jc w:val="both"/>
      </w:pPr>
      <w:r w:rsidRPr="005B0BDD">
        <w:t xml:space="preserve">Disponibilní data jsou využívána </w:t>
      </w:r>
      <w:r>
        <w:t xml:space="preserve">hlavně </w:t>
      </w:r>
      <w:r w:rsidRPr="005B0BDD">
        <w:t xml:space="preserve">pro </w:t>
      </w:r>
      <w:r>
        <w:t xml:space="preserve">ex post </w:t>
      </w:r>
      <w:r w:rsidRPr="005B0BDD">
        <w:t xml:space="preserve">vytváření statistických přehledů (například pro tvorbu </w:t>
      </w:r>
      <w:r>
        <w:t>v</w:t>
      </w:r>
      <w:r w:rsidRPr="005B0BDD">
        <w:t>ýr</w:t>
      </w:r>
      <w:r>
        <w:t>očních zpráv</w:t>
      </w:r>
      <w:r w:rsidRPr="005B0BDD">
        <w:t xml:space="preserve"> o stavu trhu veřejných zakázek</w:t>
      </w:r>
      <w:r>
        <w:t xml:space="preserve"> za předchozí rok</w:t>
      </w:r>
      <w:r w:rsidRPr="005B0BDD">
        <w:t xml:space="preserve">). </w:t>
      </w:r>
    </w:p>
    <w:p w:rsidR="00CA179C" w:rsidRDefault="00CA179C" w:rsidP="00CA179C">
      <w:pPr>
        <w:jc w:val="both"/>
      </w:pPr>
      <w:r>
        <w:t xml:space="preserve">Pro vyhledávání obchodních příležitostí jsou využívány hlavně zdrojové stránky elektronických nástrojů – tj. </w:t>
      </w:r>
      <w:hyperlink r:id="rId13" w:history="1">
        <w:r w:rsidRPr="00C17380">
          <w:rPr>
            <w:rStyle w:val="Hyperlink"/>
          </w:rPr>
          <w:t>https://vestnikverejnychzakazek.cz/</w:t>
        </w:r>
      </w:hyperlink>
      <w:r w:rsidR="00930941">
        <w:t xml:space="preserve">, </w:t>
      </w:r>
      <w:hyperlink r:id="rId14" w:history="1">
        <w:r w:rsidRPr="00C17380">
          <w:rPr>
            <w:rStyle w:val="Hyperlink"/>
          </w:rPr>
          <w:t>https://nen.nipez.cz/</w:t>
        </w:r>
      </w:hyperlink>
      <w:r w:rsidR="00930941">
        <w:t xml:space="preserve"> a</w:t>
      </w:r>
      <w:r>
        <w:t xml:space="preserve"> jiných elektronických nástrojů (přehled certifikovaných elektronických nástrojů dle vyhlášky č. 260/2016 Sb. o certifikaci elektronických nástrojů je k dispozici na adrese </w:t>
      </w:r>
      <w:hyperlink r:id="rId15" w:history="1">
        <w:r w:rsidRPr="00C17380">
          <w:rPr>
            <w:rStyle w:val="Hyperlink"/>
          </w:rPr>
          <w:t>http://portal-vz.cz/cs/Uvodni-strana)</w:t>
        </w:r>
      </w:hyperlink>
      <w:r>
        <w:t xml:space="preserve">, kde je možno nalézt také detailnější informace o konkrétní veřejné zakázce. </w:t>
      </w:r>
    </w:p>
    <w:p w:rsidR="00CA179C" w:rsidRDefault="00CA179C" w:rsidP="00CA179C">
      <w:pPr>
        <w:jc w:val="both"/>
      </w:pPr>
      <w:r>
        <w:t>V současné době je evidováno více než 20 000 profilů zadavatele a více než 200 míst</w:t>
      </w:r>
      <w:r w:rsidR="00C81ACA">
        <w:t xml:space="preserve"> (instancí)</w:t>
      </w:r>
      <w:r>
        <w:t xml:space="preserve">, kde je nutné hledat komplexnější informace o konkrétních veřejných zakázkách. </w:t>
      </w:r>
    </w:p>
    <w:p w:rsidR="00CA179C" w:rsidRDefault="00CA179C" w:rsidP="00CA179C">
      <w:pPr>
        <w:jc w:val="both"/>
      </w:pPr>
      <w:r>
        <w:t xml:space="preserve">V současné době celkem </w:t>
      </w:r>
      <w:proofErr w:type="gramStart"/>
      <w:r>
        <w:t>67%</w:t>
      </w:r>
      <w:proofErr w:type="gramEnd"/>
      <w:r>
        <w:t xml:space="preserve"> zadavatelů využívá certifikovaný elektronický nástroj dle vyhlášky </w:t>
      </w:r>
      <w:r>
        <w:br/>
        <w:t xml:space="preserve">č. 260/2016 Sb. o certifikaci elektronických nástrojů. </w:t>
      </w:r>
    </w:p>
    <w:p w:rsidR="00CA179C" w:rsidRDefault="00CA179C" w:rsidP="00CA179C">
      <w:pPr>
        <w:jc w:val="both"/>
      </w:pPr>
      <w:r>
        <w:t>Vývoj využívání certifikovaných nástrojů ukazuje následující graf:</w:t>
      </w:r>
    </w:p>
    <w:p w:rsidR="00CA179C" w:rsidRDefault="00CA179C" w:rsidP="00CA179C">
      <w:pPr>
        <w:pStyle w:val="Caption"/>
        <w:keepNext/>
        <w:jc w:val="both"/>
      </w:pPr>
      <w:bookmarkStart w:id="8" w:name="_Toc529971973"/>
      <w:r>
        <w:lastRenderedPageBreak/>
        <w:t xml:space="preserve">Graf </w:t>
      </w:r>
      <w:r>
        <w:rPr>
          <w:noProof/>
        </w:rPr>
        <w:fldChar w:fldCharType="begin"/>
      </w:r>
      <w:r>
        <w:rPr>
          <w:noProof/>
        </w:rPr>
        <w:instrText xml:space="preserve"> SEQ Graf \* ARABIC </w:instrText>
      </w:r>
      <w:r>
        <w:rPr>
          <w:noProof/>
        </w:rPr>
        <w:fldChar w:fldCharType="separate"/>
      </w:r>
      <w:r w:rsidR="009C58C3">
        <w:rPr>
          <w:noProof/>
        </w:rPr>
        <w:t>2</w:t>
      </w:r>
      <w:r>
        <w:rPr>
          <w:noProof/>
        </w:rPr>
        <w:fldChar w:fldCharType="end"/>
      </w:r>
      <w:r>
        <w:t xml:space="preserve"> Vývoj využívání certifikovaných elektronických </w:t>
      </w:r>
      <w:proofErr w:type="gramStart"/>
      <w:r>
        <w:t>nástrojů - profil</w:t>
      </w:r>
      <w:proofErr w:type="gramEnd"/>
      <w:r>
        <w:t xml:space="preserve"> zadavatele</w:t>
      </w:r>
      <w:bookmarkEnd w:id="8"/>
    </w:p>
    <w:p w:rsidR="00CA179C" w:rsidRDefault="00CA179C" w:rsidP="00CA179C">
      <w:pPr>
        <w:keepNext/>
        <w:jc w:val="both"/>
      </w:pPr>
      <w:r>
        <w:rPr>
          <w:noProof/>
          <w:lang w:eastAsia="cs-CZ"/>
        </w:rPr>
        <w:drawing>
          <wp:inline distT="0" distB="0" distL="0" distR="0" wp14:anchorId="42531523" wp14:editId="085EAEFE">
            <wp:extent cx="4572000" cy="2743200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A179C" w:rsidRDefault="00CA179C" w:rsidP="00CA179C">
      <w:pPr>
        <w:pStyle w:val="Caption"/>
        <w:jc w:val="both"/>
      </w:pPr>
      <w:bookmarkStart w:id="9" w:name="_Toc527964485"/>
      <w:r>
        <w:t xml:space="preserve">Zdroj: </w:t>
      </w:r>
      <w:r>
        <w:rPr>
          <w:noProof/>
        </w:rPr>
        <w:fldChar w:fldCharType="begin"/>
      </w:r>
      <w:r>
        <w:rPr>
          <w:noProof/>
        </w:rPr>
        <w:instrText xml:space="preserve"> SEQ Zdroj: \* ARABIC </w:instrText>
      </w:r>
      <w:r>
        <w:rPr>
          <w:noProof/>
        </w:rPr>
        <w:fldChar w:fldCharType="separate"/>
      </w:r>
      <w:r w:rsidR="009C58C3">
        <w:rPr>
          <w:noProof/>
        </w:rPr>
        <w:t>3</w:t>
      </w:r>
      <w:r>
        <w:rPr>
          <w:noProof/>
        </w:rPr>
        <w:fldChar w:fldCharType="end"/>
      </w:r>
      <w:r>
        <w:t xml:space="preserve"> vlastní zpracování, data z Věstníku veřejných zakázek</w:t>
      </w:r>
      <w:bookmarkEnd w:id="9"/>
    </w:p>
    <w:p w:rsidR="00CA179C" w:rsidRPr="00B45654" w:rsidRDefault="00CA179C" w:rsidP="00CA179C">
      <w:pPr>
        <w:pStyle w:val="Heading3"/>
      </w:pPr>
      <w:r w:rsidRPr="00B45654">
        <w:t>Open data</w:t>
      </w:r>
    </w:p>
    <w:p w:rsidR="00CA179C" w:rsidRDefault="00CA179C" w:rsidP="00CA179C">
      <w:pPr>
        <w:jc w:val="both"/>
      </w:pPr>
      <w:r>
        <w:t xml:space="preserve">Dle </w:t>
      </w:r>
      <w:r w:rsidRPr="002D60E2">
        <w:t>§ 3 odst. 11 zákona č. 106/1999 Sb. o svobodném přístupu k informacím</w:t>
      </w:r>
      <w:r>
        <w:t xml:space="preserve"> se o</w:t>
      </w:r>
      <w:r w:rsidRPr="009A771F">
        <w:t xml:space="preserve">tevřenými daty rozumí informace zveřejňované způsobem umožňujícím dálkový přístup v otevřeném a strojově čitelném formátu, jejichž způsob ani účel následného využití není omezen a které jsou evidovány </w:t>
      </w:r>
      <w:r>
        <w:br/>
      </w:r>
      <w:r w:rsidRPr="009A771F">
        <w:t>v národním katalogu otevřených dat.</w:t>
      </w:r>
      <w:r>
        <w:t xml:space="preserve"> </w:t>
      </w:r>
    </w:p>
    <w:p w:rsidR="00CA179C" w:rsidRDefault="00CA179C" w:rsidP="00CA179C">
      <w:pPr>
        <w:jc w:val="both"/>
      </w:pPr>
      <w:r>
        <w:t xml:space="preserve">Otevřená data by měla být </w:t>
      </w:r>
      <w:r w:rsidRPr="009A771F">
        <w:t>dostupná uživatelům při vynaložení minima možných nákladů.</w:t>
      </w:r>
    </w:p>
    <w:p w:rsidR="00CA179C" w:rsidRDefault="00CA179C" w:rsidP="00CA179C">
      <w:pPr>
        <w:jc w:val="both"/>
      </w:pPr>
      <w:r>
        <w:t>Stávající podoba otevírání dat o veřejných zakázkách je:</w:t>
      </w:r>
    </w:p>
    <w:p w:rsidR="00CA179C" w:rsidRDefault="00CA179C" w:rsidP="00C04CE4">
      <w:pPr>
        <w:pStyle w:val="ListParagraph"/>
        <w:numPr>
          <w:ilvl w:val="0"/>
          <w:numId w:val="10"/>
        </w:numPr>
        <w:jc w:val="both"/>
      </w:pPr>
      <w:r>
        <w:t>Vymezena vyhláškou č. 168/2016 Sb., o uveřejňování formulářů pro účely zákona o zadávání veřejných zakázek a náležitostech profilu zadavatele. Data jsou poskytována na URL adresách jednotlivých profilů veřejných zadavatelů formou XML dat.</w:t>
      </w:r>
    </w:p>
    <w:p w:rsidR="00CA179C" w:rsidRDefault="00CA179C" w:rsidP="00C04CE4">
      <w:pPr>
        <w:pStyle w:val="ListParagraph"/>
        <w:numPr>
          <w:ilvl w:val="0"/>
          <w:numId w:val="10"/>
        </w:numPr>
        <w:jc w:val="both"/>
      </w:pPr>
      <w:r>
        <w:t xml:space="preserve">Tvořena souhrnnými údaji o veřejných zakázkách z věstníku veřejných zakázek v ISVZ na adrese </w:t>
      </w:r>
      <w:hyperlink r:id="rId17" w:history="1">
        <w:r w:rsidRPr="00BD4212">
          <w:rPr>
            <w:rStyle w:val="Hyperlink"/>
          </w:rPr>
          <w:t>https://www.isvz.cz/ISVZ/Podpora/ISVZ_open_data_vz.aspx</w:t>
        </w:r>
      </w:hyperlink>
      <w:r>
        <w:t xml:space="preserve">. Tato data jsou sbírána z jednotlivých webových adres profilů zadavatele, které jsou uveřejněny ve Věstníku veřejných zakázek. </w:t>
      </w:r>
    </w:p>
    <w:p w:rsidR="00CA179C" w:rsidRDefault="00CA179C" w:rsidP="00CA179C">
      <w:pPr>
        <w:jc w:val="both"/>
      </w:pPr>
      <w:r>
        <w:t xml:space="preserve">Vývoj úspěšnosti stahování dat z profilů zadavatele se dlouhodobě pohybuje na úrovni </w:t>
      </w:r>
      <w:proofErr w:type="gramStart"/>
      <w:r>
        <w:t>10%</w:t>
      </w:r>
      <w:proofErr w:type="gramEnd"/>
      <w:r>
        <w:t>.</w:t>
      </w:r>
    </w:p>
    <w:p w:rsidR="00CA179C" w:rsidRDefault="00CA179C" w:rsidP="00CA179C">
      <w:r>
        <w:t>Neúspěšnost stahování dat z URL adres jednotlivých profilů zadavatele může být způsobena:</w:t>
      </w:r>
    </w:p>
    <w:p w:rsidR="00CA179C" w:rsidRDefault="00CA179C" w:rsidP="00C04CE4">
      <w:pPr>
        <w:pStyle w:val="ListParagraph"/>
        <w:numPr>
          <w:ilvl w:val="0"/>
          <w:numId w:val="8"/>
        </w:numPr>
      </w:pPr>
      <w:r>
        <w:t>nefunkčností elektronického nástroje poskytující profil zadavatele</w:t>
      </w:r>
    </w:p>
    <w:p w:rsidR="00CA179C" w:rsidRDefault="00CA179C" w:rsidP="00C04CE4">
      <w:pPr>
        <w:pStyle w:val="ListParagraph"/>
        <w:numPr>
          <w:ilvl w:val="0"/>
          <w:numId w:val="8"/>
        </w:numPr>
      </w:pPr>
      <w:r>
        <w:t>nesprávné vyplňování dat dle ZZVZ a vyhlášky č. 168/2016 Sb. o uveřejňování na profilu zadavatele</w:t>
      </w:r>
    </w:p>
    <w:p w:rsidR="00CA179C" w:rsidRPr="00B45654" w:rsidRDefault="00CA179C" w:rsidP="00CA179C"/>
    <w:p w:rsidR="00CA179C" w:rsidRDefault="00CA179C" w:rsidP="00876B44">
      <w:pPr>
        <w:pStyle w:val="Heading3"/>
      </w:pPr>
      <w:bookmarkStart w:id="10" w:name="_Toc527963652"/>
      <w:bookmarkStart w:id="11" w:name="_Toc527963653"/>
      <w:bookmarkStart w:id="12" w:name="_Toc527963654"/>
      <w:bookmarkStart w:id="13" w:name="_Toc527963655"/>
      <w:bookmarkStart w:id="14" w:name="_Ref526853036"/>
      <w:bookmarkEnd w:id="10"/>
      <w:bookmarkEnd w:id="11"/>
      <w:bookmarkEnd w:id="12"/>
      <w:bookmarkEnd w:id="13"/>
      <w:r>
        <w:lastRenderedPageBreak/>
        <w:t>Digitální Česko – přechod od velkých systémů k menším</w:t>
      </w:r>
      <w:bookmarkEnd w:id="14"/>
      <w:r>
        <w:t xml:space="preserve"> </w:t>
      </w:r>
    </w:p>
    <w:p w:rsidR="00CA179C" w:rsidRDefault="00CA179C" w:rsidP="00CA179C">
      <w:pPr>
        <w:jc w:val="both"/>
      </w:pPr>
      <w:r>
        <w:t xml:space="preserve">Dne 3. 10. 2018 vláda ČR schválila materiál „Digitální Česko – Vládní program digitalizace České republiky 2018+“. V rámci tohoto materiálu je řešena i problematika dalšího budování </w:t>
      </w:r>
      <w:proofErr w:type="spellStart"/>
      <w:r>
        <w:t>eGovernmentu</w:t>
      </w:r>
      <w:proofErr w:type="spellEnd"/>
      <w:r>
        <w:t xml:space="preserve">. </w:t>
      </w:r>
    </w:p>
    <w:p w:rsidR="00CA179C" w:rsidRDefault="00CA179C" w:rsidP="00CA179C">
      <w:pPr>
        <w:jc w:val="both"/>
      </w:pPr>
      <w:r>
        <w:t>Budování eGovernment má být postaveno na několika základních principech. Tyto jsou zmíněny v rámci kapitoly 5 materiálu „Infomační koncepce České republiky“. Jako nejdůležitější (nicméně ne jediné) se z pohledu dalšího vývoje NIPEZ jeví:</w:t>
      </w:r>
    </w:p>
    <w:p w:rsidR="00CA179C" w:rsidRDefault="00CA179C" w:rsidP="00C04CE4">
      <w:pPr>
        <w:pStyle w:val="ListParagraph"/>
        <w:numPr>
          <w:ilvl w:val="0"/>
          <w:numId w:val="1"/>
        </w:numPr>
        <w:jc w:val="both"/>
      </w:pPr>
      <w:r>
        <w:t>Princip P 13 – otevřená data jako standard (open data by default)</w:t>
      </w:r>
    </w:p>
    <w:p w:rsidR="00CA179C" w:rsidRDefault="00CA179C" w:rsidP="00C04CE4">
      <w:pPr>
        <w:pStyle w:val="ListParagraph"/>
        <w:numPr>
          <w:ilvl w:val="0"/>
          <w:numId w:val="1"/>
        </w:numPr>
        <w:jc w:val="both"/>
      </w:pPr>
      <w:r>
        <w:t xml:space="preserve">Princip P 16 – konsolidace a propojování informačních systémů veřejné správy (IT </w:t>
      </w:r>
      <w:proofErr w:type="spellStart"/>
      <w:r>
        <w:t>consolidation</w:t>
      </w:r>
      <w:proofErr w:type="spellEnd"/>
      <w:r>
        <w:t>)</w:t>
      </w:r>
    </w:p>
    <w:p w:rsidR="00CA179C" w:rsidRDefault="00CA179C" w:rsidP="00C04CE4">
      <w:pPr>
        <w:pStyle w:val="ListParagraph"/>
        <w:numPr>
          <w:ilvl w:val="0"/>
          <w:numId w:val="1"/>
        </w:numPr>
        <w:jc w:val="both"/>
      </w:pPr>
      <w:r>
        <w:t xml:space="preserve">Princip P 17 – omezení budování monolitických systémů (IT </w:t>
      </w:r>
      <w:proofErr w:type="spellStart"/>
      <w:r>
        <w:t>decomposition</w:t>
      </w:r>
      <w:proofErr w:type="spellEnd"/>
      <w:r>
        <w:t>)</w:t>
      </w:r>
    </w:p>
    <w:p w:rsidR="00CA179C" w:rsidRDefault="00CA179C" w:rsidP="00CA179C">
      <w:pPr>
        <w:jc w:val="both"/>
      </w:pPr>
      <w:r>
        <w:t>Součástí dalšího vývoje eGovernment má být také důraz na tzv. princip „single sign on“, čili jednotná elektronická identifikace, a to jak úředníků, tak občanů (v případě NIPEZ uchazečů o veřejnou zakázku</w:t>
      </w:r>
      <w:r w:rsidR="00D82939">
        <w:t xml:space="preserve"> a dalších aktérů působících na trhu veřejných zakázek</w:t>
      </w:r>
      <w:r>
        <w:t>).</w:t>
      </w:r>
    </w:p>
    <w:p w:rsidR="00CA179C" w:rsidRDefault="00CA179C" w:rsidP="00CA179C">
      <w:pPr>
        <w:jc w:val="both"/>
      </w:pPr>
      <w:r>
        <w:t>Projekt je také v souladu s následujícími cíli koncepce Digitální Česko</w:t>
      </w:r>
    </w:p>
    <w:p w:rsidR="00CA179C" w:rsidRDefault="00CA179C" w:rsidP="00C04CE4">
      <w:pPr>
        <w:pStyle w:val="ListParagraph"/>
        <w:numPr>
          <w:ilvl w:val="0"/>
          <w:numId w:val="7"/>
        </w:numPr>
        <w:jc w:val="both"/>
      </w:pPr>
      <w:r>
        <w:t xml:space="preserve">IK 1.4 – rozvoj on-line „front </w:t>
      </w:r>
      <w:proofErr w:type="spellStart"/>
      <w:r>
        <w:t>office</w:t>
      </w:r>
      <w:proofErr w:type="spellEnd"/>
      <w:r>
        <w:t>“ služeb jednotlivých resortů</w:t>
      </w:r>
    </w:p>
    <w:p w:rsidR="00CA179C" w:rsidRDefault="00CA179C" w:rsidP="00C04CE4">
      <w:pPr>
        <w:pStyle w:val="ListParagraph"/>
        <w:numPr>
          <w:ilvl w:val="0"/>
          <w:numId w:val="7"/>
        </w:numPr>
        <w:jc w:val="both"/>
      </w:pPr>
      <w:r>
        <w:t>IK 1.5 – zlepšení národního katalogu otevřených dat</w:t>
      </w:r>
    </w:p>
    <w:p w:rsidR="00CA179C" w:rsidRDefault="00CA179C" w:rsidP="00C04CE4">
      <w:pPr>
        <w:pStyle w:val="ListParagraph"/>
        <w:numPr>
          <w:ilvl w:val="0"/>
          <w:numId w:val="7"/>
        </w:numPr>
        <w:jc w:val="both"/>
      </w:pPr>
      <w:r>
        <w:t>DES 2.3 – podpora využívání zdrojů otevřených dat</w:t>
      </w:r>
    </w:p>
    <w:p w:rsidR="00CA179C" w:rsidRDefault="00CA179C" w:rsidP="00876B44">
      <w:pPr>
        <w:pStyle w:val="ListParagraph"/>
        <w:numPr>
          <w:ilvl w:val="0"/>
          <w:numId w:val="7"/>
        </w:numPr>
        <w:jc w:val="both"/>
      </w:pPr>
      <w:r>
        <w:t>DES 2.13 – podpora nasazování nových technologií</w:t>
      </w:r>
    </w:p>
    <w:p w:rsidR="00CA179C" w:rsidRDefault="00CA179C" w:rsidP="00876B44">
      <w:pPr>
        <w:pStyle w:val="Heading3"/>
      </w:pPr>
      <w:r>
        <w:t xml:space="preserve">Studie </w:t>
      </w:r>
      <w:proofErr w:type="spellStart"/>
      <w:r>
        <w:t>eP</w:t>
      </w:r>
      <w:r w:rsidRPr="003C1545">
        <w:t>rocurement</w:t>
      </w:r>
      <w:proofErr w:type="spellEnd"/>
      <w:r w:rsidRPr="003C1545">
        <w:t xml:space="preserve"> </w:t>
      </w:r>
    </w:p>
    <w:p w:rsidR="00CA179C" w:rsidRDefault="00CA179C" w:rsidP="00CA179C">
      <w:pPr>
        <w:jc w:val="both"/>
      </w:pPr>
      <w:r>
        <w:t>V roce 2017 byla ve spolupráci Evropské komise a Ministerstva pro místní rozvoj realizována studie týkající se aktuálního stavu elektronizace zadávání veřejných zakázek v ČR. Studie se zaměřila jak na aktuální stav Národního elektronického nástroje, tak také na stav dostupnosti dat a informací o trhu veřejných zakázek. Studie byla realizována Masarykovo universitou.</w:t>
      </w:r>
    </w:p>
    <w:p w:rsidR="00CA179C" w:rsidRDefault="00CA179C" w:rsidP="00CA179C">
      <w:pPr>
        <w:jc w:val="both"/>
      </w:pPr>
      <w:r>
        <w:t>V rámci této studie byla stanovena doporučení pro další postup při budování NIPEZ:</w:t>
      </w:r>
    </w:p>
    <w:p w:rsidR="00CA179C" w:rsidRDefault="00CA179C" w:rsidP="00C04CE4">
      <w:pPr>
        <w:pStyle w:val="ListParagraph"/>
        <w:numPr>
          <w:ilvl w:val="0"/>
          <w:numId w:val="3"/>
        </w:numPr>
        <w:jc w:val="both"/>
      </w:pPr>
      <w:r>
        <w:t>zhodnotit stávající úroveň dostupnosti informací o realizovaných veřejných zakázkách a zvážit, jakým způsobem tuto dostupnost informací navýšit,</w:t>
      </w:r>
    </w:p>
    <w:p w:rsidR="00CA179C" w:rsidRDefault="00CA179C" w:rsidP="00C04CE4">
      <w:pPr>
        <w:pStyle w:val="ListParagraph"/>
        <w:numPr>
          <w:ilvl w:val="0"/>
          <w:numId w:val="3"/>
        </w:numPr>
        <w:jc w:val="both"/>
      </w:pPr>
      <w:r>
        <w:t>vyhodnotit úroveň propojení stávající infrastruktury NIPEZ s ostatními systémy eGovernment a stanovit kroky k dalšímu rozšíření tohoto propojení,</w:t>
      </w:r>
    </w:p>
    <w:p w:rsidR="00CA179C" w:rsidRDefault="00CA179C" w:rsidP="00C04CE4">
      <w:pPr>
        <w:pStyle w:val="ListParagraph"/>
        <w:numPr>
          <w:ilvl w:val="0"/>
          <w:numId w:val="3"/>
        </w:numPr>
        <w:jc w:val="both"/>
      </w:pPr>
      <w:r>
        <w:t>zajistit BI či realizovat další kroky směřující ke zlepšení datové základny o trhu veřejných zakázek tak, aby tato podporovala tvorbu politik na základě co nejširšího datového portfolia a zároveň umožnila dodavatelům jednoduché vyhledávání obchodních příležitostí</w:t>
      </w:r>
    </w:p>
    <w:p w:rsidR="00CA179C" w:rsidRDefault="00CA179C" w:rsidP="00876B44">
      <w:pPr>
        <w:pStyle w:val="Heading4"/>
      </w:pPr>
      <w:r>
        <w:t>Závěr</w:t>
      </w:r>
    </w:p>
    <w:p w:rsidR="000E1FD4" w:rsidRPr="003429B9" w:rsidRDefault="000E1FD4" w:rsidP="000E1FD4">
      <w:pPr>
        <w:pStyle w:val="ListParagraph"/>
        <w:numPr>
          <w:ilvl w:val="0"/>
          <w:numId w:val="19"/>
        </w:numPr>
        <w:jc w:val="both"/>
        <w:rPr>
          <w:b/>
        </w:rPr>
      </w:pPr>
      <w:r w:rsidRPr="003429B9">
        <w:rPr>
          <w:b/>
        </w:rPr>
        <w:t xml:space="preserve">V současné době je evidováno více než 20 000 profilů zadavatele a více než 200 </w:t>
      </w:r>
      <w:r>
        <w:rPr>
          <w:b/>
        </w:rPr>
        <w:t>webových adres, na kterých jsou provozovány elektronické nástroje</w:t>
      </w:r>
      <w:r w:rsidRPr="003429B9">
        <w:rPr>
          <w:b/>
        </w:rPr>
        <w:t>.</w:t>
      </w:r>
    </w:p>
    <w:p w:rsidR="000E1FD4" w:rsidRDefault="000E1FD4" w:rsidP="000E1FD4">
      <w:pPr>
        <w:pStyle w:val="ListParagraph"/>
        <w:numPr>
          <w:ilvl w:val="0"/>
          <w:numId w:val="19"/>
        </w:numPr>
        <w:jc w:val="both"/>
        <w:rPr>
          <w:b/>
        </w:rPr>
      </w:pPr>
      <w:r>
        <w:rPr>
          <w:b/>
        </w:rPr>
        <w:t xml:space="preserve">Pouze </w:t>
      </w:r>
      <w:proofErr w:type="gramStart"/>
      <w:r>
        <w:rPr>
          <w:b/>
        </w:rPr>
        <w:t>67</w:t>
      </w:r>
      <w:r w:rsidRPr="003429B9">
        <w:rPr>
          <w:b/>
        </w:rPr>
        <w:t>%</w:t>
      </w:r>
      <w:proofErr w:type="gramEnd"/>
      <w:r w:rsidRPr="003429B9">
        <w:rPr>
          <w:b/>
        </w:rPr>
        <w:t xml:space="preserve"> zadavatelů využívá certifikovaný elektronický nástroj</w:t>
      </w:r>
      <w:r>
        <w:rPr>
          <w:b/>
        </w:rPr>
        <w:t xml:space="preserve"> v rozsahu profilu zadavatele. Pouze </w:t>
      </w:r>
      <w:proofErr w:type="gramStart"/>
      <w:r>
        <w:rPr>
          <w:b/>
        </w:rPr>
        <w:t>54%</w:t>
      </w:r>
      <w:proofErr w:type="gramEnd"/>
      <w:r>
        <w:rPr>
          <w:b/>
        </w:rPr>
        <w:t xml:space="preserve"> zadavatelů využívá certifikovaný elektronický nástroj s komplexní </w:t>
      </w:r>
      <w:r>
        <w:rPr>
          <w:b/>
        </w:rPr>
        <w:lastRenderedPageBreak/>
        <w:t xml:space="preserve">funkčností dle vyhlášky č. 260/2016 Sb. </w:t>
      </w:r>
      <w:r w:rsidR="00C0413E">
        <w:rPr>
          <w:b/>
        </w:rPr>
        <w:br/>
      </w:r>
      <w:r>
        <w:rPr>
          <w:b/>
        </w:rPr>
        <w:t>o certifikaci elektronických nástrojů.</w:t>
      </w:r>
    </w:p>
    <w:p w:rsidR="000E1FD4" w:rsidRDefault="000E1FD4" w:rsidP="000E1FD4">
      <w:pPr>
        <w:pStyle w:val="ListParagraph"/>
        <w:numPr>
          <w:ilvl w:val="0"/>
          <w:numId w:val="19"/>
        </w:numPr>
        <w:jc w:val="both"/>
        <w:rPr>
          <w:b/>
        </w:rPr>
      </w:pPr>
      <w:r>
        <w:rPr>
          <w:b/>
        </w:rPr>
        <w:t xml:space="preserve">I přes aktivitu MMR týkající se snahy o využívání NEN či jiného certifikovaného elektronického nástroje, se i přes progres v této oblasti tento nejeví jako dostatečný. </w:t>
      </w:r>
      <w:r>
        <w:rPr>
          <w:b/>
        </w:rPr>
        <w:br/>
        <w:t xml:space="preserve">I nadále existuje </w:t>
      </w:r>
      <w:proofErr w:type="gramStart"/>
      <w:r>
        <w:rPr>
          <w:b/>
        </w:rPr>
        <w:t>33%</w:t>
      </w:r>
      <w:proofErr w:type="gramEnd"/>
      <w:r>
        <w:rPr>
          <w:b/>
        </w:rPr>
        <w:t xml:space="preserve"> profilů zadavatele (cca 7 000 profilů zadavatele), které jsou zadavateli využívány a nejsou certifikovány. Úspěšnost stahování dat z profilů zadavatele je na úrovni </w:t>
      </w:r>
      <w:proofErr w:type="gramStart"/>
      <w:r>
        <w:rPr>
          <w:b/>
        </w:rPr>
        <w:t>10%</w:t>
      </w:r>
      <w:proofErr w:type="gramEnd"/>
      <w:r>
        <w:rPr>
          <w:b/>
        </w:rPr>
        <w:t>.</w:t>
      </w:r>
    </w:p>
    <w:p w:rsidR="000E1FD4" w:rsidRDefault="000E1FD4" w:rsidP="000E1FD4">
      <w:pPr>
        <w:pStyle w:val="ListParagraph"/>
        <w:numPr>
          <w:ilvl w:val="0"/>
          <w:numId w:val="19"/>
        </w:numPr>
        <w:jc w:val="both"/>
        <w:rPr>
          <w:b/>
        </w:rPr>
      </w:pPr>
      <w:r w:rsidRPr="002D60E2">
        <w:rPr>
          <w:b/>
        </w:rPr>
        <w:t xml:space="preserve">Otevřená </w:t>
      </w:r>
      <w:proofErr w:type="gramStart"/>
      <w:r w:rsidRPr="002D60E2">
        <w:rPr>
          <w:b/>
        </w:rPr>
        <w:t>data  -</w:t>
      </w:r>
      <w:proofErr w:type="gramEnd"/>
      <w:r w:rsidRPr="002D60E2">
        <w:rPr>
          <w:b/>
        </w:rPr>
        <w:t xml:space="preserve"> XML data profilů zadavatele trpí roztříštěností vzhledem k tomu, že jsou přístupná přes více než 20 000 URL adres jednotlivých profilů. Kvalita poskytovaných dat a jejich dostupnost se pro jednotlivé profily liší. Zároveň je obtížné aktivně dohlížet na kvalitu poskytovaných dat.  </w:t>
      </w:r>
      <w:r>
        <w:rPr>
          <w:b/>
        </w:rPr>
        <w:t>Problém se týká hlavně veřejných zakázek malého rozsahu, jež nejsou evidovány ve Věstníku veřejných zakázek.</w:t>
      </w:r>
    </w:p>
    <w:p w:rsidR="000E1FD4" w:rsidRPr="003C1545" w:rsidRDefault="000E1FD4" w:rsidP="000E1FD4">
      <w:pPr>
        <w:pStyle w:val="ListParagraph"/>
        <w:numPr>
          <w:ilvl w:val="0"/>
          <w:numId w:val="19"/>
        </w:numPr>
        <w:jc w:val="both"/>
        <w:rPr>
          <w:b/>
        </w:rPr>
      </w:pPr>
      <w:r w:rsidRPr="003C1545">
        <w:rPr>
          <w:b/>
        </w:rPr>
        <w:t>Vláda svým usnesením č</w:t>
      </w:r>
      <w:r w:rsidRPr="00AE5BA9">
        <w:rPr>
          <w:b/>
        </w:rPr>
        <w:t>. 629</w:t>
      </w:r>
      <w:r w:rsidRPr="003C1545">
        <w:rPr>
          <w:b/>
        </w:rPr>
        <w:t>/2018 schválila materiál Digitální Česko – Vládní program digitalizace České republiky 2018+“.</w:t>
      </w:r>
    </w:p>
    <w:p w:rsidR="000E1FD4" w:rsidRPr="003C1545" w:rsidRDefault="000E1FD4" w:rsidP="000E1FD4">
      <w:pPr>
        <w:pStyle w:val="ListParagraph"/>
        <w:numPr>
          <w:ilvl w:val="0"/>
          <w:numId w:val="19"/>
        </w:numPr>
        <w:jc w:val="both"/>
        <w:rPr>
          <w:b/>
        </w:rPr>
      </w:pPr>
      <w:r w:rsidRPr="003C1545">
        <w:rPr>
          <w:b/>
        </w:rPr>
        <w:t>Další vývoj budování NIPEZ musí být v souladu s</w:t>
      </w:r>
      <w:r>
        <w:rPr>
          <w:b/>
        </w:rPr>
        <w:t>e základními principy Digitálního Česka</w:t>
      </w:r>
    </w:p>
    <w:p w:rsidR="000E1FD4" w:rsidRPr="003C1545" w:rsidRDefault="000E1FD4" w:rsidP="000E1FD4">
      <w:pPr>
        <w:pStyle w:val="ListParagraph"/>
        <w:numPr>
          <w:ilvl w:val="0"/>
          <w:numId w:val="19"/>
        </w:numPr>
        <w:jc w:val="both"/>
        <w:rPr>
          <w:b/>
        </w:rPr>
      </w:pPr>
      <w:r w:rsidRPr="003C1545">
        <w:rPr>
          <w:b/>
        </w:rPr>
        <w:t xml:space="preserve">Hlavní principy </w:t>
      </w:r>
      <w:r>
        <w:rPr>
          <w:b/>
        </w:rPr>
        <w:t xml:space="preserve">Digitálního Česka </w:t>
      </w:r>
      <w:r w:rsidRPr="003C1545">
        <w:rPr>
          <w:b/>
        </w:rPr>
        <w:t>s dopadem na budování NIPEZ:</w:t>
      </w:r>
    </w:p>
    <w:p w:rsidR="000E1FD4" w:rsidRDefault="000E1FD4" w:rsidP="000E1FD4">
      <w:pPr>
        <w:pStyle w:val="ListParagraph"/>
        <w:numPr>
          <w:ilvl w:val="1"/>
          <w:numId w:val="19"/>
        </w:numPr>
        <w:jc w:val="both"/>
        <w:rPr>
          <w:b/>
        </w:rPr>
      </w:pPr>
      <w:r>
        <w:rPr>
          <w:b/>
        </w:rPr>
        <w:t>Otevřená data jako standard</w:t>
      </w:r>
    </w:p>
    <w:p w:rsidR="000E1FD4" w:rsidRPr="003C1545" w:rsidRDefault="000E1FD4" w:rsidP="000E1FD4">
      <w:pPr>
        <w:pStyle w:val="ListParagraph"/>
        <w:numPr>
          <w:ilvl w:val="1"/>
          <w:numId w:val="19"/>
        </w:numPr>
        <w:jc w:val="both"/>
        <w:rPr>
          <w:b/>
        </w:rPr>
      </w:pPr>
      <w:r w:rsidRPr="003C1545">
        <w:rPr>
          <w:b/>
        </w:rPr>
        <w:t>Konsolidace a propojování IS veřejné správy</w:t>
      </w:r>
    </w:p>
    <w:p w:rsidR="000E1FD4" w:rsidRPr="003C1545" w:rsidRDefault="000E1FD4" w:rsidP="000E1FD4">
      <w:pPr>
        <w:pStyle w:val="ListParagraph"/>
        <w:numPr>
          <w:ilvl w:val="1"/>
          <w:numId w:val="19"/>
        </w:numPr>
        <w:jc w:val="both"/>
        <w:rPr>
          <w:b/>
        </w:rPr>
      </w:pPr>
      <w:r w:rsidRPr="003C1545">
        <w:rPr>
          <w:b/>
        </w:rPr>
        <w:t>Omezení budování monolitických systémů</w:t>
      </w:r>
    </w:p>
    <w:p w:rsidR="000E1FD4" w:rsidRDefault="000E1FD4" w:rsidP="000E1FD4">
      <w:pPr>
        <w:pStyle w:val="ListParagraph"/>
        <w:numPr>
          <w:ilvl w:val="1"/>
          <w:numId w:val="19"/>
        </w:numPr>
        <w:jc w:val="both"/>
        <w:rPr>
          <w:b/>
        </w:rPr>
      </w:pPr>
      <w:r w:rsidRPr="003C1545">
        <w:rPr>
          <w:b/>
        </w:rPr>
        <w:t>Princip single sign on</w:t>
      </w:r>
    </w:p>
    <w:p w:rsidR="000E1FD4" w:rsidRDefault="000E1FD4" w:rsidP="000E1FD4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 xml:space="preserve">Zpráva Evropské komise doporučuje </w:t>
      </w:r>
      <w:r w:rsidRPr="00C45950">
        <w:rPr>
          <w:b/>
        </w:rPr>
        <w:t>realizovat kroky směřující ke zlepšení datové základny o trhu veřejných zakázek</w:t>
      </w:r>
      <w:r>
        <w:rPr>
          <w:b/>
        </w:rPr>
        <w:t xml:space="preserve"> a informačních systémů pro analýzu dat</w:t>
      </w:r>
    </w:p>
    <w:p w:rsidR="00CA179C" w:rsidRDefault="00CA179C" w:rsidP="00876B44">
      <w:pPr>
        <w:pStyle w:val="Heading2"/>
        <w:jc w:val="both"/>
      </w:pPr>
      <w:r>
        <w:t>Výstupy odborné skupiny pro strategii elektronizace veřejných zakázek</w:t>
      </w:r>
    </w:p>
    <w:p w:rsidR="00CA179C" w:rsidRDefault="00CA179C" w:rsidP="00CA179C">
      <w:pPr>
        <w:jc w:val="both"/>
      </w:pPr>
      <w:r>
        <w:t xml:space="preserve">Ministryně pro místní rozvoj ustanovila jako svůj poradní orgán Řídící skupinu pro řízení strategie elektronizace veřejných zakázek. Tento poradní orgán je složen z odborných zástupců ministerstev, ústředních orgánů státní správy, zástupců územně samosprávných celků a dodavatelů. V rámci pravidelných jednání Řídící skupiny bylo navrženo </w:t>
      </w:r>
      <w:r w:rsidR="000E1FD4">
        <w:t>realizovat opatření směřující k následujícím cílům</w:t>
      </w:r>
      <w:r>
        <w:t>:</w:t>
      </w:r>
    </w:p>
    <w:p w:rsidR="00CA179C" w:rsidRDefault="00CA179C" w:rsidP="00C04CE4">
      <w:pPr>
        <w:pStyle w:val="ListParagraph"/>
        <w:numPr>
          <w:ilvl w:val="0"/>
          <w:numId w:val="13"/>
        </w:numPr>
        <w:jc w:val="both"/>
      </w:pPr>
      <w:r>
        <w:t>Ulehčení přístupu dodavatelů k trhu veřejných zakázek</w:t>
      </w:r>
    </w:p>
    <w:p w:rsidR="00CA179C" w:rsidRDefault="00CA179C" w:rsidP="00C04CE4">
      <w:pPr>
        <w:pStyle w:val="ListParagraph"/>
        <w:numPr>
          <w:ilvl w:val="0"/>
          <w:numId w:val="13"/>
        </w:numPr>
        <w:jc w:val="both"/>
      </w:pPr>
      <w:r>
        <w:t>Rychlé, plně elektronické zadávání a kontrola veřejných zakázek</w:t>
      </w:r>
    </w:p>
    <w:p w:rsidR="00836010" w:rsidRDefault="00CA179C" w:rsidP="00836010">
      <w:pPr>
        <w:pStyle w:val="ListParagraph"/>
        <w:numPr>
          <w:ilvl w:val="0"/>
          <w:numId w:val="13"/>
        </w:numPr>
        <w:jc w:val="both"/>
      </w:pPr>
      <w:r>
        <w:t>Maximální využití dat z jiných IS eGovernment při zadávání veřejných zakázek</w:t>
      </w:r>
    </w:p>
    <w:p w:rsidR="000E1FD4" w:rsidRDefault="000E1FD4" w:rsidP="000E1FD4">
      <w:pPr>
        <w:jc w:val="both"/>
      </w:pPr>
      <w:r>
        <w:t>Ke každému cíli byl</w:t>
      </w:r>
      <w:r w:rsidR="00BC1245">
        <w:t>a</w:t>
      </w:r>
      <w:r>
        <w:t xml:space="preserve"> definován</w:t>
      </w:r>
      <w:r w:rsidR="00BC1245">
        <w:t>a</w:t>
      </w:r>
      <w:r>
        <w:t xml:space="preserve"> opatření, kter</w:t>
      </w:r>
      <w:r w:rsidR="00BC1245">
        <w:t>á</w:t>
      </w:r>
      <w:r>
        <w:t xml:space="preserve"> by měl</w:t>
      </w:r>
      <w:r w:rsidR="00BC1245">
        <w:t>a</w:t>
      </w:r>
      <w:r>
        <w:t xml:space="preserve"> být realizován</w:t>
      </w:r>
      <w:r w:rsidR="00BC1245">
        <w:t>a</w:t>
      </w:r>
      <w:r>
        <w:t>. Jsou jimi například:</w:t>
      </w:r>
    </w:p>
    <w:p w:rsidR="000E1FD4" w:rsidRDefault="000E1FD4" w:rsidP="000E1FD4">
      <w:pPr>
        <w:pStyle w:val="ListParagraph"/>
        <w:numPr>
          <w:ilvl w:val="0"/>
          <w:numId w:val="3"/>
        </w:numPr>
        <w:jc w:val="both"/>
      </w:pPr>
      <w:r>
        <w:t>Jednotné prostředí pro vyhledávání obchodních příležitostí a elektronické komunikace mezi dodavateli a zadavateli</w:t>
      </w:r>
    </w:p>
    <w:p w:rsidR="000E1FD4" w:rsidRDefault="000E1FD4" w:rsidP="000E1FD4">
      <w:pPr>
        <w:pStyle w:val="ListParagraph"/>
        <w:numPr>
          <w:ilvl w:val="0"/>
          <w:numId w:val="3"/>
        </w:numPr>
        <w:jc w:val="both"/>
      </w:pPr>
      <w:r>
        <w:t>Jednotná správa osob a rolí napříč systémy NIPEZ</w:t>
      </w:r>
    </w:p>
    <w:p w:rsidR="000E1FD4" w:rsidRDefault="00B01A2D" w:rsidP="000E1FD4">
      <w:pPr>
        <w:pStyle w:val="ListParagraph"/>
        <w:numPr>
          <w:ilvl w:val="0"/>
          <w:numId w:val="3"/>
        </w:numPr>
        <w:jc w:val="both"/>
      </w:pPr>
      <w:r>
        <w:t>Důraz na maximální využitelnost dat a informací z ostatních informačních systémů eGovernment a NIPEZ</w:t>
      </w:r>
    </w:p>
    <w:p w:rsidR="000E1FD4" w:rsidRDefault="000E1FD4" w:rsidP="000E1FD4">
      <w:pPr>
        <w:jc w:val="both"/>
      </w:pPr>
      <w:r>
        <w:t xml:space="preserve">Návrhy Řídící skupiny byly zapracovány do jednotlivých opatření aktualizace akčního plánu. </w:t>
      </w:r>
    </w:p>
    <w:p w:rsidR="00E14540" w:rsidRDefault="00E14540" w:rsidP="00BA0010">
      <w:pPr>
        <w:pStyle w:val="Heading2"/>
        <w:pageBreakBefore/>
        <w:jc w:val="both"/>
      </w:pPr>
      <w:r>
        <w:lastRenderedPageBreak/>
        <w:t xml:space="preserve">Aktualizace </w:t>
      </w:r>
      <w:proofErr w:type="spellStart"/>
      <w:r>
        <w:t>Enterprise</w:t>
      </w:r>
      <w:proofErr w:type="spellEnd"/>
      <w:r>
        <w:t xml:space="preserve"> </w:t>
      </w:r>
      <w:r w:rsidR="00E80B85">
        <w:t>A</w:t>
      </w:r>
      <w:r>
        <w:t>rchitektury NIPEZ</w:t>
      </w:r>
    </w:p>
    <w:p w:rsidR="00BA0010" w:rsidRDefault="00BA0010" w:rsidP="00BA0010">
      <w:pPr>
        <w:jc w:val="both"/>
      </w:pPr>
      <w:r>
        <w:t xml:space="preserve">Schéma níže znázorňuje základní proces zadávání veřejné zakázky. Zeleně jsou vyznačeny procesy, které jsou </w:t>
      </w:r>
      <w:r w:rsidR="001D1A1F">
        <w:t>součástí informačních systémů NIPEZ. Červeně pak procesy, které má zadavatel pokryty jinými informačními systémy. Součástí informačních systémů NIPEZ jsou i rozhraní, které umožňují komunikaci IS NIPEZ s ostatními IS zadavatele.</w:t>
      </w:r>
    </w:p>
    <w:p w:rsidR="001D1A1F" w:rsidRDefault="001D1A1F" w:rsidP="001D1A1F">
      <w:pPr>
        <w:pStyle w:val="Caption"/>
        <w:keepNext/>
        <w:jc w:val="both"/>
      </w:pPr>
      <w:bookmarkStart w:id="15" w:name="_Toc529971977"/>
      <w:r>
        <w:t xml:space="preserve">Schéma </w:t>
      </w:r>
      <w:r w:rsidR="00123B98">
        <w:rPr>
          <w:noProof/>
        </w:rPr>
        <w:fldChar w:fldCharType="begin"/>
      </w:r>
      <w:r w:rsidR="00123B98">
        <w:rPr>
          <w:noProof/>
        </w:rPr>
        <w:instrText xml:space="preserve"> SEQ Schéma \* ARABIC </w:instrText>
      </w:r>
      <w:r w:rsidR="00123B98">
        <w:rPr>
          <w:noProof/>
        </w:rPr>
        <w:fldChar w:fldCharType="separate"/>
      </w:r>
      <w:r w:rsidR="009C58C3">
        <w:rPr>
          <w:noProof/>
        </w:rPr>
        <w:t>2</w:t>
      </w:r>
      <w:r w:rsidR="00123B98">
        <w:rPr>
          <w:noProof/>
        </w:rPr>
        <w:fldChar w:fldCharType="end"/>
      </w:r>
      <w:r>
        <w:t xml:space="preserve"> Proces zadávání veřejné zakázky a pozice NIPEZ</w:t>
      </w:r>
      <w:bookmarkEnd w:id="15"/>
    </w:p>
    <w:p w:rsidR="001D1A1F" w:rsidRDefault="00BA0010" w:rsidP="001D1A1F">
      <w:pPr>
        <w:keepNext/>
        <w:jc w:val="both"/>
      </w:pPr>
      <w:r>
        <w:rPr>
          <w:noProof/>
          <w:lang w:eastAsia="cs-CZ"/>
        </w:rPr>
        <w:drawing>
          <wp:inline distT="0" distB="0" distL="0" distR="0" wp14:anchorId="69A73548" wp14:editId="6D5107BA">
            <wp:extent cx="6432550" cy="3657600"/>
            <wp:effectExtent l="12700" t="0" r="63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BA0010" w:rsidRDefault="001D1A1F" w:rsidP="001D1A1F">
      <w:pPr>
        <w:pStyle w:val="Caption"/>
        <w:jc w:val="both"/>
      </w:pPr>
      <w:r>
        <w:t xml:space="preserve">Zdroj: </w:t>
      </w:r>
      <w:r w:rsidR="00123B98">
        <w:rPr>
          <w:noProof/>
        </w:rPr>
        <w:fldChar w:fldCharType="begin"/>
      </w:r>
      <w:r w:rsidR="00123B98">
        <w:rPr>
          <w:noProof/>
        </w:rPr>
        <w:instrText xml:space="preserve"> SEQ Zdroj: \* ARABIC </w:instrText>
      </w:r>
      <w:r w:rsidR="00123B98">
        <w:rPr>
          <w:noProof/>
        </w:rPr>
        <w:fldChar w:fldCharType="separate"/>
      </w:r>
      <w:r w:rsidR="009C58C3">
        <w:rPr>
          <w:noProof/>
        </w:rPr>
        <w:t>4</w:t>
      </w:r>
      <w:r w:rsidR="00123B98">
        <w:rPr>
          <w:noProof/>
        </w:rPr>
        <w:fldChar w:fldCharType="end"/>
      </w:r>
      <w:r>
        <w:t xml:space="preserve"> Ministerstvo pro místní rozvoj</w:t>
      </w:r>
    </w:p>
    <w:p w:rsidR="001D1A1F" w:rsidRDefault="00A81447" w:rsidP="00357854">
      <w:pPr>
        <w:jc w:val="both"/>
      </w:pPr>
      <w:r>
        <w:t xml:space="preserve">Podoba původního konceptu NIPEZ byla vytvořena před více než 10 lety. Neaktuálnost </w:t>
      </w:r>
      <w:proofErr w:type="spellStart"/>
      <w:r>
        <w:t>enterprise</w:t>
      </w:r>
      <w:proofErr w:type="spellEnd"/>
      <w:r>
        <w:t xml:space="preserve"> architektury</w:t>
      </w:r>
      <w:r w:rsidR="00BA0010">
        <w:t xml:space="preserve"> </w:t>
      </w:r>
      <w:r>
        <w:t>uvedl</w:t>
      </w:r>
      <w:r w:rsidR="00BA0010">
        <w:t>,</w:t>
      </w:r>
      <w:r>
        <w:t xml:space="preserve"> ve svém kontrolním</w:t>
      </w:r>
      <w:r w:rsidR="00BA0010">
        <w:t xml:space="preserve"> závěru,</w:t>
      </w:r>
      <w:r>
        <w:t xml:space="preserve"> i Nejvyšší kontrolní úřad.</w:t>
      </w:r>
      <w:r w:rsidR="00BA0010">
        <w:t xml:space="preserve"> </w:t>
      </w:r>
      <w:r w:rsidR="00C30D4C">
        <w:t xml:space="preserve">Ministerstvo pro místní rozvoj tak </w:t>
      </w:r>
      <w:r w:rsidR="00C30D4C">
        <w:rPr>
          <w:rFonts w:cs="Calibri"/>
          <w:color w:val="000000"/>
        </w:rPr>
        <w:t>přistoupilo ke zpracování</w:t>
      </w:r>
      <w:r w:rsidR="00C30D4C" w:rsidRPr="00FD18FB">
        <w:rPr>
          <w:rFonts w:cs="Calibri"/>
          <w:color w:val="000000"/>
        </w:rPr>
        <w:t xml:space="preserve"> </w:t>
      </w:r>
      <w:r w:rsidR="00C30D4C">
        <w:rPr>
          <w:rFonts w:cs="Calibri"/>
          <w:color w:val="000000"/>
        </w:rPr>
        <w:t xml:space="preserve">aktualizované podoby </w:t>
      </w:r>
      <w:proofErr w:type="spellStart"/>
      <w:r w:rsidR="00C30D4C">
        <w:rPr>
          <w:rFonts w:cs="Calibri"/>
          <w:i/>
          <w:color w:val="000000"/>
        </w:rPr>
        <w:t>e</w:t>
      </w:r>
      <w:r w:rsidR="00C30D4C" w:rsidRPr="005513A7">
        <w:rPr>
          <w:rFonts w:cs="Calibri"/>
          <w:i/>
          <w:color w:val="000000"/>
        </w:rPr>
        <w:t>nterprise</w:t>
      </w:r>
      <w:proofErr w:type="spellEnd"/>
      <w:r w:rsidR="00C30D4C" w:rsidRPr="005513A7">
        <w:rPr>
          <w:rFonts w:cs="Calibri"/>
          <w:i/>
          <w:color w:val="000000"/>
        </w:rPr>
        <w:t xml:space="preserve"> </w:t>
      </w:r>
      <w:r w:rsidR="00C30D4C" w:rsidRPr="000B4383">
        <w:rPr>
          <w:rFonts w:cs="Calibri"/>
          <w:color w:val="000000"/>
        </w:rPr>
        <w:t>architektury</w:t>
      </w:r>
      <w:r w:rsidR="00C30D4C">
        <w:rPr>
          <w:rFonts w:cs="Calibri"/>
          <w:color w:val="000000"/>
        </w:rPr>
        <w:t xml:space="preserve"> NIPEZ</w:t>
      </w:r>
      <w:r w:rsidR="00C30D4C" w:rsidRPr="00FD18FB">
        <w:rPr>
          <w:rFonts w:cs="Calibri"/>
          <w:color w:val="000000"/>
        </w:rPr>
        <w:t>,</w:t>
      </w:r>
      <w:r w:rsidR="00C30D4C">
        <w:rPr>
          <w:rFonts w:cs="Calibri"/>
          <w:color w:val="000000"/>
        </w:rPr>
        <w:t xml:space="preserve"> jako další předpoklad</w:t>
      </w:r>
      <w:r w:rsidR="00C30D4C" w:rsidRPr="00FD18FB">
        <w:rPr>
          <w:rFonts w:cs="Calibri"/>
          <w:color w:val="000000"/>
        </w:rPr>
        <w:t xml:space="preserve"> pro další koordinovaný a efektivní rozvoj NIPEZ v souvislosti s přechodem na komplexní elektronické zadávání veřejných zak</w:t>
      </w:r>
      <w:r w:rsidR="00C30D4C">
        <w:rPr>
          <w:rFonts w:cs="Calibri"/>
          <w:color w:val="000000"/>
        </w:rPr>
        <w:t>ázek. Stávající podoba NIPEZ:</w:t>
      </w:r>
    </w:p>
    <w:p w:rsidR="001D1A1F" w:rsidRDefault="00A9049A" w:rsidP="00357854">
      <w:pPr>
        <w:jc w:val="both"/>
      </w:pPr>
      <w:r w:rsidRPr="001D1A1F">
        <w:rPr>
          <w:noProof/>
        </w:rPr>
        <w:object w:dxaOrig="13220" w:dyaOrig="3250" w14:anchorId="19A800B3">
          <v:shape id="_x0000_i1026" type="#_x0000_t75" alt="" style="width:452.75pt;height:111.65pt;mso-width-percent:0;mso-height-percent:0;mso-width-percent:0;mso-height-percent:0" o:ole="">
            <v:imagedata r:id="rId23" o:title=""/>
          </v:shape>
          <o:OLEObject Type="Embed" ProgID="Unknown" ShapeID="_x0000_i1026" DrawAspect="Content" ObjectID="_1606042214" r:id="rId24"/>
        </w:object>
      </w:r>
    </w:p>
    <w:p w:rsidR="00357854" w:rsidRDefault="00BA0010" w:rsidP="00357854">
      <w:pPr>
        <w:jc w:val="both"/>
      </w:pPr>
      <w:r>
        <w:t>Jako problematické okruhy byly identifikovány:</w:t>
      </w:r>
    </w:p>
    <w:p w:rsidR="00BA0010" w:rsidRDefault="00BA0010" w:rsidP="00BA0010">
      <w:pPr>
        <w:pStyle w:val="ListParagraph"/>
        <w:numPr>
          <w:ilvl w:val="0"/>
          <w:numId w:val="3"/>
        </w:numPr>
        <w:jc w:val="both"/>
      </w:pPr>
      <w:r>
        <w:lastRenderedPageBreak/>
        <w:t xml:space="preserve">Duplicity v provozních službách u jednotlivých systémů (několik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Desků</w:t>
      </w:r>
      <w:proofErr w:type="spellEnd"/>
      <w:r>
        <w:t xml:space="preserve">, různé kontrolní mechanismy u různých informačních </w:t>
      </w:r>
      <w:proofErr w:type="gramStart"/>
      <w:r>
        <w:t>systémů,</w:t>
      </w:r>
      <w:proofErr w:type="gramEnd"/>
      <w:r>
        <w:t xml:space="preserve"> atd.)</w:t>
      </w:r>
    </w:p>
    <w:p w:rsidR="00BA0010" w:rsidRDefault="00BA0010" w:rsidP="00BA0010">
      <w:pPr>
        <w:pStyle w:val="ListParagraph"/>
        <w:numPr>
          <w:ilvl w:val="0"/>
          <w:numId w:val="3"/>
        </w:numPr>
        <w:jc w:val="both"/>
      </w:pPr>
      <w:proofErr w:type="spellStart"/>
      <w:r>
        <w:t>Vendor</w:t>
      </w:r>
      <w:proofErr w:type="spellEnd"/>
      <w:r>
        <w:t xml:space="preserve"> </w:t>
      </w:r>
      <w:proofErr w:type="spellStart"/>
      <w:r>
        <w:t>lock</w:t>
      </w:r>
      <w:proofErr w:type="spellEnd"/>
      <w:r>
        <w:t xml:space="preserve"> – in u původních systémů</w:t>
      </w:r>
    </w:p>
    <w:p w:rsidR="00D169E5" w:rsidRDefault="00BA0010" w:rsidP="00357854">
      <w:pPr>
        <w:pStyle w:val="ListParagraph"/>
        <w:numPr>
          <w:ilvl w:val="0"/>
          <w:numId w:val="3"/>
        </w:numPr>
        <w:jc w:val="both"/>
      </w:pPr>
      <w:r>
        <w:t>Roztříštěnost dat o veřejných zakázkách</w:t>
      </w:r>
    </w:p>
    <w:p w:rsidR="00920A8B" w:rsidRPr="00920A8B" w:rsidRDefault="00920A8B" w:rsidP="00357854">
      <w:pPr>
        <w:jc w:val="both"/>
        <w:rPr>
          <w:b/>
        </w:rPr>
      </w:pPr>
      <w:r w:rsidRPr="00920A8B">
        <w:rPr>
          <w:b/>
        </w:rPr>
        <w:t>Závěr</w:t>
      </w:r>
    </w:p>
    <w:p w:rsidR="00357854" w:rsidRPr="00876B44" w:rsidRDefault="00920A8B" w:rsidP="00357854">
      <w:pPr>
        <w:pStyle w:val="ListParagraph"/>
        <w:numPr>
          <w:ilvl w:val="0"/>
          <w:numId w:val="3"/>
        </w:numPr>
        <w:jc w:val="both"/>
        <w:rPr>
          <w:b/>
        </w:rPr>
      </w:pPr>
      <w:r w:rsidRPr="00876B44">
        <w:rPr>
          <w:b/>
        </w:rPr>
        <w:t>Stávající architektura NIPEZ již neodpovídá aktuálním potřebám uživatelů a možnostem moderních technologií</w:t>
      </w:r>
      <w:r w:rsidR="00876B44">
        <w:rPr>
          <w:b/>
        </w:rPr>
        <w:t xml:space="preserve"> a je třeba ji aktualizovat.</w:t>
      </w:r>
    </w:p>
    <w:p w:rsidR="00357854" w:rsidRPr="005B0BDD" w:rsidRDefault="00357854" w:rsidP="00E80B85">
      <w:pPr>
        <w:pStyle w:val="Heading1"/>
        <w:pageBreakBefore/>
        <w:jc w:val="both"/>
      </w:pPr>
      <w:bookmarkStart w:id="16" w:name="_Toc530127685"/>
      <w:r>
        <w:lastRenderedPageBreak/>
        <w:t>Příloha č. 2 - Otevřené body stávajícího stavu z pohledu Strategie elektronizace veřejných zakázek</w:t>
      </w:r>
      <w:bookmarkEnd w:id="16"/>
    </w:p>
    <w:p w:rsidR="00357854" w:rsidRDefault="00357854" w:rsidP="00357854">
      <w:pPr>
        <w:jc w:val="both"/>
      </w:pPr>
      <w:r>
        <w:t xml:space="preserve">Na základě výše uvedených vstupů jsou z pohledu elektronizace veřejných zakázek k řešení následující otevřené body: </w:t>
      </w:r>
    </w:p>
    <w:p w:rsidR="00357854" w:rsidRDefault="00357854" w:rsidP="00C04CE4">
      <w:pPr>
        <w:pStyle w:val="Heading3"/>
        <w:numPr>
          <w:ilvl w:val="0"/>
          <w:numId w:val="17"/>
        </w:numPr>
        <w:jc w:val="both"/>
      </w:pPr>
      <w:r w:rsidRPr="00076B28">
        <w:t xml:space="preserve">Roztříštěnost </w:t>
      </w:r>
      <w:r>
        <w:t xml:space="preserve">informací o realizovaných veřejných </w:t>
      </w:r>
      <w:r w:rsidRPr="00076B28">
        <w:t>zakáz</w:t>
      </w:r>
      <w:r>
        <w:t>kách</w:t>
      </w:r>
    </w:p>
    <w:p w:rsidR="00357854" w:rsidRDefault="00357854" w:rsidP="00357854">
      <w:pPr>
        <w:jc w:val="both"/>
      </w:pPr>
      <w:r>
        <w:t xml:space="preserve">Informace o veřejných zakázkách zadávaných v režimu ZZVZ jsou v současnosti agregovány ve Věstníku veřejných zakázek a také v Informačním systému o veřejných zakázkách. Slabé místo je v agregaci informací o veřejných zakázkách malého rozsahu. </w:t>
      </w:r>
    </w:p>
    <w:p w:rsidR="00357854" w:rsidRDefault="00357854" w:rsidP="00357854">
      <w:pPr>
        <w:jc w:val="both"/>
      </w:pPr>
      <w:r>
        <w:t>I přes aktivitu MMR týkající se snahy o maximální možnou centralizaci dat spočívající v:</w:t>
      </w:r>
    </w:p>
    <w:p w:rsidR="00357854" w:rsidRDefault="00357854" w:rsidP="00C04CE4">
      <w:pPr>
        <w:pStyle w:val="ListParagraph"/>
        <w:numPr>
          <w:ilvl w:val="0"/>
          <w:numId w:val="3"/>
        </w:numPr>
        <w:jc w:val="both"/>
      </w:pPr>
      <w:r>
        <w:t>Přijetí usnesení vlády č. 467/2017 a č. 408/2018 o povinném využívání NEN,</w:t>
      </w:r>
    </w:p>
    <w:p w:rsidR="00357854" w:rsidRDefault="00357854" w:rsidP="00C04CE4">
      <w:pPr>
        <w:pStyle w:val="ListParagraph"/>
        <w:numPr>
          <w:ilvl w:val="0"/>
          <w:numId w:val="3"/>
        </w:numPr>
        <w:jc w:val="both"/>
      </w:pPr>
      <w:r>
        <w:t>Prezentacemi pracovníků MMR propagující využívání certifikovaných elektronických nástrojů</w:t>
      </w:r>
    </w:p>
    <w:p w:rsidR="00357854" w:rsidRDefault="00357854" w:rsidP="00357854">
      <w:pPr>
        <w:jc w:val="both"/>
      </w:pPr>
      <w:r>
        <w:t xml:space="preserve">Stále existuje prostor ke zlepšení, a to hlavně v oblasti veřejných zakázek malého rozsahu. Dle poslední Výroční zprávy o trhu veřejných zakázek je velikost trhu, který spadá do kategorie veřejných zakázek malého rozsahu, případně výjimek ze ZZVZ – 200 mld. Kč. </w:t>
      </w:r>
    </w:p>
    <w:p w:rsidR="00357854" w:rsidRDefault="00357854" w:rsidP="00357854">
      <w:pPr>
        <w:jc w:val="both"/>
      </w:pPr>
      <w:r>
        <w:t>Informace o těchto veřejných zakázkách jsou dostupné na více než 20 000 profilech zadavatele a na více než 200 unikátních adresách jednotlivých elektronických nástrojů. Postupně sice dochází k centralizaci těchto dat (hlavně přes zvyšující se využívání NEN), nicméně progres v této oblasti není z pohledu MMR dostatečný.</w:t>
      </w:r>
    </w:p>
    <w:p w:rsidR="00357854" w:rsidRDefault="00357854" w:rsidP="00357854">
      <w:pPr>
        <w:jc w:val="both"/>
      </w:pPr>
      <w:r>
        <w:t>Cílem aktualizace akčního plánu tak je pokračování snahy agregovat data o veřejných zakázkách, a to hlavně o data veřejných zakázek malého rozsahu. Přehled opatření je uveden v kapitole 5.</w:t>
      </w:r>
    </w:p>
    <w:p w:rsidR="00357854" w:rsidRDefault="00357854" w:rsidP="00C04CE4">
      <w:pPr>
        <w:pStyle w:val="Heading3"/>
        <w:numPr>
          <w:ilvl w:val="0"/>
          <w:numId w:val="17"/>
        </w:numPr>
        <w:jc w:val="both"/>
      </w:pPr>
      <w:r>
        <w:t>Nízké využívání certifikovaných elektronických nástrojů</w:t>
      </w:r>
    </w:p>
    <w:p w:rsidR="00357854" w:rsidRDefault="00357854" w:rsidP="00357854">
      <w:pPr>
        <w:jc w:val="both"/>
      </w:pPr>
      <w:r>
        <w:t xml:space="preserve">Druhým otevřeným </w:t>
      </w:r>
      <w:r w:rsidRPr="00A83834">
        <w:t>bodem je aktuální stav</w:t>
      </w:r>
      <w:r>
        <w:t xml:space="preserve"> využívání certifikovaných elektronických nástrojů. Poměr využívání certifikovaných nástrojů vůči necertifikovaným je i přes positivní trend nedostatečný. </w:t>
      </w:r>
    </w:p>
    <w:p w:rsidR="00D82939" w:rsidRDefault="00357854" w:rsidP="00D82939">
      <w:pPr>
        <w:jc w:val="both"/>
      </w:pPr>
      <w:r>
        <w:t xml:space="preserve">Cílem aktualizace akčního plánu tak musí být opatření, které bude motivovat zadavatele k tomu, aby ve větší míře využívali certifikované elektronické nástroje.  </w:t>
      </w:r>
    </w:p>
    <w:p w:rsidR="00357854" w:rsidRDefault="00876B44" w:rsidP="00D82939">
      <w:pPr>
        <w:pStyle w:val="Heading3"/>
        <w:numPr>
          <w:ilvl w:val="0"/>
          <w:numId w:val="17"/>
        </w:numPr>
        <w:jc w:val="both"/>
      </w:pPr>
      <w:r>
        <w:t>Aktualizace konceptu poskytování otevřených dat</w:t>
      </w:r>
    </w:p>
    <w:p w:rsidR="00357854" w:rsidRDefault="00357854" w:rsidP="00357854">
      <w:pPr>
        <w:jc w:val="both"/>
      </w:pPr>
      <w:r>
        <w:t>Stávající koncepce poskytování otevřených dat komplikuje centrální přístup k datům veřejných zakázek. J</w:t>
      </w:r>
      <w:r w:rsidRPr="001B4CDB">
        <w:t>e obtížné aktivně dohlížet na kvalitu poskytovaných dat ze strany MMR</w:t>
      </w:r>
      <w:r>
        <w:t>.</w:t>
      </w:r>
      <w:r w:rsidRPr="001B4CDB" w:rsidDel="00E46796">
        <w:t xml:space="preserve"> </w:t>
      </w:r>
    </w:p>
    <w:p w:rsidR="00357854" w:rsidRDefault="00357854" w:rsidP="00357854">
      <w:pPr>
        <w:jc w:val="both"/>
      </w:pPr>
      <w:r>
        <w:t xml:space="preserve">Cílem aktualizace akčního plánu tak musí být opatření, které umožní vytvoření centrálního zdroje otevřených dat včetně automatického procesu dohledu na kvalitu publikovaných dat. </w:t>
      </w:r>
    </w:p>
    <w:p w:rsidR="00357854" w:rsidRDefault="00E14540" w:rsidP="00C04CE4">
      <w:pPr>
        <w:pStyle w:val="Heading3"/>
        <w:numPr>
          <w:ilvl w:val="0"/>
          <w:numId w:val="17"/>
        </w:numPr>
        <w:jc w:val="both"/>
      </w:pPr>
      <w:r>
        <w:t>Potřeba aktualizace konceptu NIPEZ</w:t>
      </w:r>
    </w:p>
    <w:p w:rsidR="00566BE3" w:rsidRDefault="00E14540" w:rsidP="00566BE3">
      <w:pPr>
        <w:jc w:val="both"/>
      </w:pPr>
      <w:r>
        <w:t xml:space="preserve">Stávající podoba NIPEZ vychází z koncepce, která se vytvářela před více než 10 lety. Neodpovídá tedy zcela stávajícím potřebám uživatelů, možnostem moderních technologií a možnostem využití dat z ostatních IS eGovernment.  </w:t>
      </w:r>
    </w:p>
    <w:p w:rsidR="00920A8B" w:rsidRPr="00566BE3" w:rsidRDefault="00920A8B" w:rsidP="00566BE3">
      <w:pPr>
        <w:jc w:val="both"/>
      </w:pPr>
      <w:r>
        <w:lastRenderedPageBreak/>
        <w:t>Cílem aktualizace akčního plánu je ukotvit základní podobu nové architektury NIPEZ společně se základními principy, dle kterých bude tato budována. Nová architektura NIPEZ spolu s</w:t>
      </w:r>
      <w:r w:rsidR="00876B44">
        <w:t> </w:t>
      </w:r>
      <w:r>
        <w:t>principy</w:t>
      </w:r>
      <w:r w:rsidR="00876B44">
        <w:t xml:space="preserve"> jejího budování</w:t>
      </w:r>
      <w:r>
        <w:t xml:space="preserve"> je uvedena v příloze č 4 materiálu – Projekt NIPEZ 2.0.</w:t>
      </w:r>
    </w:p>
    <w:p w:rsidR="00566BE3" w:rsidRDefault="00566BE3" w:rsidP="00566BE3">
      <w:pPr>
        <w:jc w:val="both"/>
      </w:pPr>
    </w:p>
    <w:p w:rsidR="00BF7176" w:rsidRDefault="00BF7176" w:rsidP="00BF7176">
      <w:pPr>
        <w:pStyle w:val="Heading1"/>
        <w:pageBreakBefore/>
      </w:pPr>
      <w:bookmarkStart w:id="17" w:name="_Toc530127686"/>
      <w:r>
        <w:lastRenderedPageBreak/>
        <w:t xml:space="preserve">Příloha č. 3 - </w:t>
      </w:r>
      <w:r w:rsidRPr="00AE5BA9">
        <w:t xml:space="preserve">Navázání seznamu opatření </w:t>
      </w:r>
      <w:r w:rsidRPr="001C3DF7">
        <w:t>na otevřené body</w:t>
      </w:r>
      <w:bookmarkEnd w:id="17"/>
      <w:r w:rsidRPr="00AE5BA9">
        <w:t xml:space="preserve"> </w:t>
      </w:r>
    </w:p>
    <w:p w:rsidR="00BF7176" w:rsidRPr="00BF7176" w:rsidRDefault="00BF7176" w:rsidP="00BF7176"/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3259"/>
        <w:gridCol w:w="3146"/>
        <w:gridCol w:w="2885"/>
      </w:tblGrid>
      <w:tr w:rsidR="00B01A2D" w:rsidRPr="00D420D5" w:rsidTr="00B01A2D">
        <w:tc>
          <w:tcPr>
            <w:tcW w:w="1754" w:type="pct"/>
          </w:tcPr>
          <w:p w:rsidR="00B01A2D" w:rsidRPr="00AE5BA9" w:rsidRDefault="00B01A2D" w:rsidP="00836010">
            <w:pPr>
              <w:jc w:val="center"/>
              <w:rPr>
                <w:b/>
              </w:rPr>
            </w:pPr>
            <w:r w:rsidRPr="00AE5BA9">
              <w:rPr>
                <w:b/>
              </w:rPr>
              <w:t>Otevřené body</w:t>
            </w:r>
          </w:p>
        </w:tc>
        <w:tc>
          <w:tcPr>
            <w:tcW w:w="1693" w:type="pct"/>
          </w:tcPr>
          <w:p w:rsidR="00B01A2D" w:rsidRPr="00AE5BA9" w:rsidRDefault="00B01A2D" w:rsidP="00836010">
            <w:pPr>
              <w:jc w:val="center"/>
              <w:rPr>
                <w:b/>
              </w:rPr>
            </w:pPr>
            <w:r w:rsidRPr="00AE5BA9">
              <w:rPr>
                <w:b/>
              </w:rPr>
              <w:t>Řešení</w:t>
            </w:r>
          </w:p>
        </w:tc>
        <w:tc>
          <w:tcPr>
            <w:tcW w:w="1553" w:type="pct"/>
          </w:tcPr>
          <w:p w:rsidR="00B01A2D" w:rsidRPr="00AE5BA9" w:rsidRDefault="00B01A2D" w:rsidP="00836010">
            <w:pPr>
              <w:jc w:val="center"/>
              <w:rPr>
                <w:b/>
              </w:rPr>
            </w:pPr>
            <w:r w:rsidRPr="00AE5BA9">
              <w:rPr>
                <w:b/>
              </w:rPr>
              <w:t>Opatření v rámci stávajícího akčního plánu</w:t>
            </w:r>
          </w:p>
        </w:tc>
      </w:tr>
      <w:tr w:rsidR="00B01A2D" w:rsidRPr="00D420D5" w:rsidTr="00B01A2D">
        <w:tc>
          <w:tcPr>
            <w:tcW w:w="1754" w:type="pct"/>
          </w:tcPr>
          <w:p w:rsidR="00B01A2D" w:rsidRPr="00AE5BA9" w:rsidRDefault="00B01A2D" w:rsidP="00836010">
            <w:pPr>
              <w:jc w:val="both"/>
              <w:rPr>
                <w:u w:val="single"/>
              </w:rPr>
            </w:pPr>
            <w:r w:rsidRPr="00AE5BA9">
              <w:rPr>
                <w:u w:val="single"/>
              </w:rPr>
              <w:t>Roztříštěnost elektronických nástrojů pro zadávání veřejných zakázek</w:t>
            </w:r>
          </w:p>
        </w:tc>
        <w:tc>
          <w:tcPr>
            <w:tcW w:w="1693" w:type="pct"/>
          </w:tcPr>
          <w:p w:rsidR="00B01A2D" w:rsidRDefault="00B01A2D" w:rsidP="00836010">
            <w:pPr>
              <w:jc w:val="both"/>
            </w:pPr>
            <w:r w:rsidRPr="00AE5BA9">
              <w:t>Vybudování platform</w:t>
            </w:r>
            <w:r>
              <w:t>y</w:t>
            </w:r>
            <w:r w:rsidRPr="00AE5BA9">
              <w:t xml:space="preserve">, která agreguje informace o všech veřejných zakázkách realizovaných na propojených elektronických nástrojích. </w:t>
            </w:r>
          </w:p>
          <w:p w:rsidR="00B01A2D" w:rsidRDefault="00B01A2D" w:rsidP="00836010">
            <w:pPr>
              <w:jc w:val="both"/>
            </w:pPr>
          </w:p>
          <w:p w:rsidR="00B01A2D" w:rsidRDefault="00B01A2D" w:rsidP="00836010">
            <w:pPr>
              <w:jc w:val="both"/>
            </w:pPr>
            <w:r w:rsidRPr="00AE5BA9">
              <w:t xml:space="preserve">Další vývoj </w:t>
            </w:r>
            <w:r>
              <w:t xml:space="preserve">platformy </w:t>
            </w:r>
            <w:r w:rsidRPr="00AE5BA9">
              <w:t>bude směřován dle potřeby uživatelů.</w:t>
            </w:r>
          </w:p>
          <w:p w:rsidR="00B01A2D" w:rsidRDefault="00B01A2D" w:rsidP="00836010">
            <w:pPr>
              <w:jc w:val="both"/>
            </w:pPr>
          </w:p>
          <w:p w:rsidR="00B01A2D" w:rsidRDefault="00B01A2D" w:rsidP="00836010">
            <w:pPr>
              <w:jc w:val="both"/>
            </w:pPr>
            <w:r>
              <w:t>Aktualizace ostatních částí Portálu o veřejných zakázkách, jehož součástí by vybudovaná platforma byla.</w:t>
            </w:r>
          </w:p>
          <w:p w:rsidR="00B01A2D" w:rsidRPr="00AE5BA9" w:rsidRDefault="00B01A2D" w:rsidP="00836010">
            <w:pPr>
              <w:jc w:val="both"/>
            </w:pPr>
          </w:p>
        </w:tc>
        <w:tc>
          <w:tcPr>
            <w:tcW w:w="1553" w:type="pct"/>
          </w:tcPr>
          <w:p w:rsidR="00B01A2D" w:rsidRDefault="00B01A2D" w:rsidP="00836010">
            <w:pPr>
              <w:jc w:val="both"/>
              <w:rPr>
                <w:rFonts w:eastAsia="Times New Roman" w:cs="Arial"/>
                <w:szCs w:val="20"/>
              </w:rPr>
            </w:pPr>
            <w:r w:rsidRPr="00AE5BA9">
              <w:rPr>
                <w:rFonts w:eastAsia="Times New Roman" w:cs="Arial"/>
                <w:szCs w:val="20"/>
              </w:rPr>
              <w:t>C. 4 - Vytvoření platformy pro jednotný přístup dodavatelů k veřejným zakázkám za účelem realizace elektronických úkonů, při zachování požadavků na naplnění individuálních potřeb zadavatelů používající IEN a NEN</w:t>
            </w:r>
          </w:p>
          <w:p w:rsidR="00B01A2D" w:rsidRDefault="00B01A2D" w:rsidP="00836010">
            <w:pPr>
              <w:jc w:val="both"/>
              <w:rPr>
                <w:rFonts w:eastAsia="Times New Roman" w:cs="Arial"/>
                <w:szCs w:val="20"/>
              </w:rPr>
            </w:pPr>
          </w:p>
          <w:p w:rsidR="001C3DF7" w:rsidRPr="001C3DF7" w:rsidRDefault="001C3DF7" w:rsidP="001C3DF7">
            <w:pPr>
              <w:jc w:val="both"/>
              <w:rPr>
                <w:rFonts w:eastAsia="Times New Roman" w:cs="Arial"/>
                <w:szCs w:val="20"/>
              </w:rPr>
            </w:pPr>
            <w:r w:rsidRPr="001C3DF7">
              <w:rPr>
                <w:rFonts w:eastAsia="Times New Roman" w:cs="Arial"/>
                <w:szCs w:val="20"/>
              </w:rPr>
              <w:t>C. 5 Vytvořit centrální zdroj otevřených dat včetně automatického procesu dohledu na kvalitu publikovaných dat</w:t>
            </w:r>
          </w:p>
          <w:p w:rsidR="00B01A2D" w:rsidRPr="00AE5BA9" w:rsidRDefault="00B01A2D" w:rsidP="001C3DF7">
            <w:pPr>
              <w:jc w:val="both"/>
            </w:pPr>
          </w:p>
        </w:tc>
      </w:tr>
      <w:tr w:rsidR="00B01A2D" w:rsidTr="00B01A2D">
        <w:tc>
          <w:tcPr>
            <w:tcW w:w="1754" w:type="pct"/>
          </w:tcPr>
          <w:p w:rsidR="00B01A2D" w:rsidRPr="00AE5BA9" w:rsidRDefault="00B01A2D" w:rsidP="00836010">
            <w:pPr>
              <w:jc w:val="both"/>
              <w:rPr>
                <w:u w:val="single"/>
              </w:rPr>
            </w:pPr>
            <w:r w:rsidRPr="00AE5BA9">
              <w:rPr>
                <w:u w:val="single"/>
              </w:rPr>
              <w:t>Nízká míra využívání certifikovaných elektronických nástrojů</w:t>
            </w:r>
          </w:p>
        </w:tc>
        <w:tc>
          <w:tcPr>
            <w:tcW w:w="1693" w:type="pct"/>
          </w:tcPr>
          <w:p w:rsidR="00B01A2D" w:rsidRPr="00AE5BA9" w:rsidRDefault="00B01A2D" w:rsidP="00836010">
            <w:pPr>
              <w:jc w:val="both"/>
            </w:pPr>
            <w:r w:rsidRPr="00AE5BA9">
              <w:t>Nepřekročitelnou podmínkou pro připojení do nově vybudované platformy (Portál o veřejných zakázkách) bude, že elektronický nástroj je certifikován dle vyhlášky 260/2016</w:t>
            </w:r>
            <w:r w:rsidR="00513794">
              <w:t xml:space="preserve"> </w:t>
            </w:r>
            <w:r w:rsidRPr="00AE5BA9">
              <w:t>Sb. o certifikaci elektronických nástrojů</w:t>
            </w:r>
          </w:p>
        </w:tc>
        <w:tc>
          <w:tcPr>
            <w:tcW w:w="1553" w:type="pct"/>
          </w:tcPr>
          <w:p w:rsidR="00B01A2D" w:rsidRDefault="00B01A2D" w:rsidP="00836010">
            <w:pPr>
              <w:jc w:val="both"/>
              <w:rPr>
                <w:rFonts w:eastAsia="Times New Roman" w:cs="Arial"/>
                <w:szCs w:val="20"/>
              </w:rPr>
            </w:pPr>
            <w:r w:rsidRPr="00AE5BA9">
              <w:rPr>
                <w:rFonts w:eastAsia="Times New Roman" w:cs="Arial"/>
                <w:szCs w:val="20"/>
              </w:rPr>
              <w:t>C. 4 - Vytvoření platformy pro jednotný přístup dodavatelů k veřejným zakázkám za účelem realizace elektronických úkonů, při zachování požadavků na naplnění individuálních potřeb zadavatelů používající IEN a NEN</w:t>
            </w:r>
          </w:p>
          <w:p w:rsidR="00B01A2D" w:rsidRPr="00AE5BA9" w:rsidRDefault="00B01A2D" w:rsidP="00836010">
            <w:pPr>
              <w:jc w:val="both"/>
            </w:pPr>
          </w:p>
        </w:tc>
      </w:tr>
      <w:tr w:rsidR="00B01A2D" w:rsidTr="00B01A2D">
        <w:tc>
          <w:tcPr>
            <w:tcW w:w="1754" w:type="pct"/>
          </w:tcPr>
          <w:p w:rsidR="00B01A2D" w:rsidRPr="0043379C" w:rsidRDefault="004B24C8" w:rsidP="00836010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Aktualizace konceptu využívání otevřených dat</w:t>
            </w:r>
          </w:p>
        </w:tc>
        <w:tc>
          <w:tcPr>
            <w:tcW w:w="1693" w:type="pct"/>
          </w:tcPr>
          <w:p w:rsidR="00B01A2D" w:rsidRPr="0022660F" w:rsidRDefault="00B01A2D" w:rsidP="00836010">
            <w:pPr>
              <w:jc w:val="both"/>
              <w:rPr>
                <w:rFonts w:cstheme="minorHAnsi"/>
              </w:rPr>
            </w:pPr>
          </w:p>
        </w:tc>
        <w:tc>
          <w:tcPr>
            <w:tcW w:w="1553" w:type="pct"/>
          </w:tcPr>
          <w:p w:rsidR="00B01A2D" w:rsidRDefault="00B01A2D" w:rsidP="00836010">
            <w:pPr>
              <w:jc w:val="both"/>
              <w:rPr>
                <w:rFonts w:eastAsia="Times New Roman" w:cstheme="minorHAnsi"/>
              </w:rPr>
            </w:pPr>
            <w:r w:rsidRPr="0022660F">
              <w:rPr>
                <w:rFonts w:cstheme="minorHAnsi"/>
              </w:rPr>
              <w:t>C.</w:t>
            </w:r>
            <w:r>
              <w:rPr>
                <w:rFonts w:cstheme="minorHAnsi"/>
              </w:rPr>
              <w:t xml:space="preserve"> </w:t>
            </w:r>
            <w:r w:rsidRPr="0022660F">
              <w:rPr>
                <w:rFonts w:cstheme="minorHAnsi"/>
              </w:rPr>
              <w:t xml:space="preserve">3 </w:t>
            </w:r>
            <w:r w:rsidRPr="0022660F">
              <w:rPr>
                <w:rFonts w:eastAsia="Times New Roman" w:cstheme="minorHAnsi"/>
              </w:rPr>
              <w:t>Zajistit optimalizaci dalších modulů NIPEZ (Věstník veřejných zakázek, Informační systém o veřejných zakázkách)</w:t>
            </w:r>
          </w:p>
          <w:p w:rsidR="00B01A2D" w:rsidRDefault="00B01A2D" w:rsidP="00836010">
            <w:pPr>
              <w:jc w:val="both"/>
              <w:rPr>
                <w:rFonts w:eastAsia="Times New Roman" w:cstheme="minorHAnsi"/>
              </w:rPr>
            </w:pPr>
          </w:p>
          <w:p w:rsidR="00B01A2D" w:rsidRPr="0022660F" w:rsidRDefault="001C3DF7" w:rsidP="00836010">
            <w:pPr>
              <w:jc w:val="both"/>
              <w:rPr>
                <w:rFonts w:eastAsia="Times New Roman" w:cstheme="minorHAnsi"/>
              </w:rPr>
            </w:pPr>
            <w:r>
              <w:t>C. 5</w:t>
            </w:r>
            <w:r w:rsidR="00B01A2D">
              <w:t xml:space="preserve"> – Nové </w:t>
            </w:r>
            <w:proofErr w:type="gramStart"/>
            <w:r w:rsidR="00B01A2D">
              <w:t>opatření - Vytvořit</w:t>
            </w:r>
            <w:proofErr w:type="gramEnd"/>
            <w:r w:rsidR="00B01A2D">
              <w:t xml:space="preserve"> centrální zdroj otevřených dat včetně automatického procesu dohledu na kvalitu publikovaných dat</w:t>
            </w:r>
          </w:p>
          <w:p w:rsidR="00B01A2D" w:rsidRPr="0022660F" w:rsidRDefault="00B01A2D" w:rsidP="00836010">
            <w:pPr>
              <w:jc w:val="both"/>
              <w:rPr>
                <w:rFonts w:cstheme="minorHAnsi"/>
              </w:rPr>
            </w:pPr>
          </w:p>
        </w:tc>
      </w:tr>
      <w:tr w:rsidR="001C3DF7" w:rsidTr="00B01A2D">
        <w:tc>
          <w:tcPr>
            <w:tcW w:w="1754" w:type="pct"/>
          </w:tcPr>
          <w:p w:rsidR="001C3DF7" w:rsidRPr="0043379C" w:rsidRDefault="001C3DF7" w:rsidP="001C3DF7">
            <w:pPr>
              <w:jc w:val="both"/>
              <w:rPr>
                <w:rFonts w:cstheme="minorHAnsi"/>
                <w:u w:val="single"/>
              </w:rPr>
            </w:pPr>
            <w:r w:rsidRPr="0043379C">
              <w:rPr>
                <w:rFonts w:cstheme="minorHAnsi"/>
                <w:u w:val="single"/>
              </w:rPr>
              <w:t>Potřeba aktualizace konceptu NIPEZ – projekt NIPEZ 2.0</w:t>
            </w:r>
          </w:p>
        </w:tc>
        <w:tc>
          <w:tcPr>
            <w:tcW w:w="1693" w:type="pct"/>
          </w:tcPr>
          <w:p w:rsidR="001C3DF7" w:rsidRPr="0022660F" w:rsidRDefault="001C3DF7" w:rsidP="001C3DF7">
            <w:pPr>
              <w:jc w:val="both"/>
              <w:rPr>
                <w:rFonts w:cstheme="minorHAnsi"/>
              </w:rPr>
            </w:pPr>
          </w:p>
        </w:tc>
        <w:tc>
          <w:tcPr>
            <w:tcW w:w="1553" w:type="pct"/>
          </w:tcPr>
          <w:p w:rsidR="001C3DF7" w:rsidRPr="001C3DF7" w:rsidRDefault="001C3DF7" w:rsidP="001C3DF7">
            <w:pPr>
              <w:jc w:val="both"/>
            </w:pPr>
            <w:r w:rsidRPr="001C3DF7">
              <w:t xml:space="preserve">C. 3 Zajistit optimalizaci dalších modulů NIPEZ (Věstník veřejných zakázek, Informační systém o </w:t>
            </w:r>
            <w:r w:rsidRPr="001C3DF7">
              <w:lastRenderedPageBreak/>
              <w:t>veřejných zakázkách)</w:t>
            </w:r>
          </w:p>
          <w:p w:rsidR="001C3DF7" w:rsidRPr="001C3DF7" w:rsidRDefault="001C3DF7" w:rsidP="001C3DF7">
            <w:pPr>
              <w:jc w:val="both"/>
            </w:pPr>
          </w:p>
          <w:p w:rsidR="001C3DF7" w:rsidRPr="001C3DF7" w:rsidRDefault="001C3DF7" w:rsidP="001C3DF7">
            <w:pPr>
              <w:jc w:val="both"/>
            </w:pPr>
            <w:r w:rsidRPr="001C3DF7">
              <w:t>C. 4 Vytvoření platformy pro jednotný přístup dodavatelů k veřejným zakázkám za účelem realizace elektronických úkonů, při zachování požadavků na naplnění individuálních potřeb zadavatelů používající IEN a NEN</w:t>
            </w:r>
          </w:p>
          <w:p w:rsidR="001C3DF7" w:rsidRPr="001C3DF7" w:rsidRDefault="001C3DF7" w:rsidP="001C3DF7">
            <w:pPr>
              <w:jc w:val="both"/>
            </w:pPr>
          </w:p>
          <w:p w:rsidR="001C3DF7" w:rsidRPr="001C3DF7" w:rsidRDefault="001C3DF7" w:rsidP="001C3DF7">
            <w:pPr>
              <w:jc w:val="both"/>
            </w:pPr>
            <w:r w:rsidRPr="001C3DF7">
              <w:t>C. 5 Vytvořit centrální zdroj otevřených dat včetně automatického procesu dohledu na kvalitu publikovaných dat</w:t>
            </w:r>
          </w:p>
          <w:p w:rsidR="001C3DF7" w:rsidRPr="001C3DF7" w:rsidRDefault="001C3DF7" w:rsidP="001C3DF7">
            <w:pPr>
              <w:jc w:val="both"/>
            </w:pPr>
          </w:p>
          <w:p w:rsidR="001C3DF7" w:rsidRPr="001C3DF7" w:rsidRDefault="001C3DF7" w:rsidP="001C3DF7">
            <w:pPr>
              <w:jc w:val="both"/>
            </w:pPr>
            <w:r w:rsidRPr="001C3DF7">
              <w:t>C.  6 Vytvořit jednotný systém rolí a oprávnění v rámci IS NIPEZ, a to jak pro zadavatele, tak dodavatele.</w:t>
            </w:r>
          </w:p>
          <w:p w:rsidR="001C3DF7" w:rsidRPr="001C3DF7" w:rsidRDefault="001C3DF7" w:rsidP="001C3DF7">
            <w:pPr>
              <w:jc w:val="both"/>
            </w:pPr>
          </w:p>
          <w:p w:rsidR="001C3DF7" w:rsidRPr="001C3DF7" w:rsidRDefault="001C3DF7" w:rsidP="001C3DF7">
            <w:pPr>
              <w:jc w:val="both"/>
            </w:pPr>
            <w:r w:rsidRPr="001C3DF7">
              <w:t>C. 7 Umožnění maximální možné automatické komunikace mezi IS NIPEZ a IS eGovernment včetně nastavení mechanismů průběžné kontroly správnosti dat.</w:t>
            </w:r>
          </w:p>
        </w:tc>
      </w:tr>
    </w:tbl>
    <w:p w:rsidR="00BF7176" w:rsidRPr="001B1B2E" w:rsidRDefault="00BF7176" w:rsidP="00BF7176"/>
    <w:p w:rsidR="00BF7176" w:rsidRDefault="00BF7176" w:rsidP="00BF7176">
      <w:pPr>
        <w:jc w:val="both"/>
        <w:rPr>
          <w:rFonts w:ascii="Arial" w:hAnsi="Arial" w:cs="Arial"/>
          <w:sz w:val="20"/>
        </w:rPr>
      </w:pPr>
    </w:p>
    <w:p w:rsidR="00357854" w:rsidRDefault="00357854" w:rsidP="00357854">
      <w:pPr>
        <w:jc w:val="both"/>
      </w:pPr>
    </w:p>
    <w:p w:rsidR="00E14540" w:rsidRDefault="00E14540" w:rsidP="00BF7176">
      <w:pPr>
        <w:pStyle w:val="Heading1"/>
        <w:pageBreakBefore/>
      </w:pPr>
      <w:bookmarkStart w:id="18" w:name="_Toc530127687"/>
      <w:r>
        <w:lastRenderedPageBreak/>
        <w:t xml:space="preserve">Příloha č. </w:t>
      </w:r>
      <w:r w:rsidR="00BF7176">
        <w:t xml:space="preserve">4 - </w:t>
      </w:r>
      <w:r>
        <w:t>Projekt NIPEZ 2.0</w:t>
      </w:r>
      <w:bookmarkEnd w:id="18"/>
    </w:p>
    <w:p w:rsidR="00E14540" w:rsidRDefault="00E14540" w:rsidP="00E14540">
      <w:pPr>
        <w:jc w:val="both"/>
      </w:pPr>
      <w:r>
        <w:t>Projekt NIPEZ 2.0 má ambici eliminovat otevřené body uvedené v předchozí části materiálu.</w:t>
      </w:r>
      <w:r w:rsidR="00C30D4C">
        <w:t xml:space="preserve"> Projekt je taktéž součástí konceptu Digitální Česko.</w:t>
      </w:r>
    </w:p>
    <w:p w:rsidR="00E14540" w:rsidRDefault="00E14540" w:rsidP="00E14540">
      <w:pPr>
        <w:jc w:val="both"/>
      </w:pPr>
      <w:r w:rsidRPr="00A6418B">
        <w:t xml:space="preserve">Cílem </w:t>
      </w:r>
      <w:r>
        <w:t>projektu je aktualizovat stávající podobu NIPEZ</w:t>
      </w:r>
      <w:r w:rsidR="00C30D4C">
        <w:t xml:space="preserve"> (a tím eliminovat otevřené body stávajícího stavu)</w:t>
      </w:r>
      <w:r>
        <w:t xml:space="preserve">, a to přechodem na tzv. „NIPEZ 2.0“. </w:t>
      </w:r>
      <w:r w:rsidR="00993D4A">
        <w:t xml:space="preserve"> S</w:t>
      </w:r>
      <w:r>
        <w:t>chéma</w:t>
      </w:r>
      <w:r w:rsidR="00993D4A">
        <w:t xml:space="preserve"> NIPEZ 2.0</w:t>
      </w:r>
      <w:r>
        <w:t>:</w:t>
      </w:r>
    </w:p>
    <w:p w:rsidR="00E14540" w:rsidRDefault="00E14540" w:rsidP="00E14540">
      <w:pPr>
        <w:pStyle w:val="Caption"/>
        <w:keepNext/>
        <w:jc w:val="both"/>
      </w:pPr>
      <w:bookmarkStart w:id="19" w:name="_Toc529971978"/>
      <w:r>
        <w:t xml:space="preserve">Schéma </w:t>
      </w:r>
      <w:r>
        <w:rPr>
          <w:noProof/>
        </w:rPr>
        <w:fldChar w:fldCharType="begin"/>
      </w:r>
      <w:r>
        <w:rPr>
          <w:noProof/>
        </w:rPr>
        <w:instrText xml:space="preserve"> SEQ Schéma \* ARABIC </w:instrText>
      </w:r>
      <w:r>
        <w:rPr>
          <w:noProof/>
        </w:rPr>
        <w:fldChar w:fldCharType="separate"/>
      </w:r>
      <w:r w:rsidR="009C58C3">
        <w:rPr>
          <w:noProof/>
        </w:rPr>
        <w:t>3</w:t>
      </w:r>
      <w:r>
        <w:rPr>
          <w:noProof/>
        </w:rPr>
        <w:fldChar w:fldCharType="end"/>
      </w:r>
      <w:r>
        <w:t xml:space="preserve"> NIPEZ 2.0</w:t>
      </w:r>
      <w:bookmarkEnd w:id="19"/>
    </w:p>
    <w:p w:rsidR="00993D4A" w:rsidRPr="00993D4A" w:rsidRDefault="00A9049A" w:rsidP="00993D4A">
      <w:r w:rsidRPr="00993D4A">
        <w:rPr>
          <w:noProof/>
        </w:rPr>
        <w:object w:dxaOrig="14816" w:dyaOrig="9146" w14:anchorId="39A60502">
          <v:shape id="_x0000_i1025" type="#_x0000_t75" alt="" style="width:489.95pt;height:302.05pt;mso-width-percent:0;mso-height-percent:0;mso-width-percent:0;mso-height-percent:0" o:ole="">
            <v:imagedata r:id="rId8" o:title=""/>
          </v:shape>
          <o:OLEObject Type="Embed" ProgID="Visio.Drawing.11" ShapeID="_x0000_i1025" DrawAspect="Content" ObjectID="_1606042215" r:id="rId25"/>
        </w:object>
      </w:r>
      <w:r w:rsidR="00993D4A" w:rsidRPr="00993D4A">
        <w:t xml:space="preserve"> </w:t>
      </w:r>
      <w:r w:rsidR="00993D4A">
        <w:t xml:space="preserve">Zdroj: </w:t>
      </w:r>
      <w:r w:rsidR="00993D4A" w:rsidRPr="00993D4A">
        <w:t>Ministerstvo pro místní rozvoj</w:t>
      </w:r>
    </w:p>
    <w:p w:rsidR="00E14540" w:rsidRDefault="00E14540" w:rsidP="00E14540">
      <w:pPr>
        <w:jc w:val="both"/>
      </w:pPr>
      <w:r>
        <w:t>Prvky NIPEZ 2.0 jsou následující informační systémy:</w:t>
      </w:r>
    </w:p>
    <w:p w:rsidR="00E14540" w:rsidRDefault="00E14540" w:rsidP="00C04CE4">
      <w:pPr>
        <w:pStyle w:val="ListParagraph"/>
        <w:numPr>
          <w:ilvl w:val="0"/>
          <w:numId w:val="6"/>
        </w:numPr>
        <w:jc w:val="both"/>
      </w:pPr>
      <w:r>
        <w:t>Portál o veřejných zakázkách</w:t>
      </w:r>
    </w:p>
    <w:p w:rsidR="00E14540" w:rsidRDefault="00E14540" w:rsidP="00C04CE4">
      <w:pPr>
        <w:pStyle w:val="ListParagraph"/>
        <w:numPr>
          <w:ilvl w:val="0"/>
          <w:numId w:val="6"/>
        </w:numPr>
        <w:jc w:val="both"/>
      </w:pPr>
      <w:r>
        <w:t>Národní elektronický nástroj</w:t>
      </w:r>
    </w:p>
    <w:p w:rsidR="00E14540" w:rsidRDefault="00E14540" w:rsidP="00C04CE4">
      <w:pPr>
        <w:pStyle w:val="ListParagraph"/>
        <w:numPr>
          <w:ilvl w:val="0"/>
          <w:numId w:val="6"/>
        </w:numPr>
        <w:jc w:val="both"/>
      </w:pPr>
      <w:r>
        <w:t>Věstník veřejných zakázek</w:t>
      </w:r>
    </w:p>
    <w:p w:rsidR="00E14540" w:rsidRDefault="00E14540" w:rsidP="00C04CE4">
      <w:pPr>
        <w:pStyle w:val="ListParagraph"/>
        <w:numPr>
          <w:ilvl w:val="0"/>
          <w:numId w:val="6"/>
        </w:numPr>
        <w:jc w:val="both"/>
      </w:pPr>
      <w:r>
        <w:t>Seznam kvalifikovaných dodavatelů</w:t>
      </w:r>
    </w:p>
    <w:p w:rsidR="00E14540" w:rsidRDefault="00E14540" w:rsidP="00C04CE4">
      <w:pPr>
        <w:pStyle w:val="ListParagraph"/>
        <w:numPr>
          <w:ilvl w:val="0"/>
          <w:numId w:val="6"/>
        </w:numPr>
        <w:jc w:val="both"/>
      </w:pPr>
      <w:r>
        <w:t>Statistický nástroj pro práci s daty</w:t>
      </w:r>
    </w:p>
    <w:p w:rsidR="00E14540" w:rsidRDefault="00E14540" w:rsidP="00C04CE4">
      <w:pPr>
        <w:pStyle w:val="ListParagraph"/>
        <w:numPr>
          <w:ilvl w:val="0"/>
          <w:numId w:val="6"/>
        </w:numPr>
        <w:jc w:val="both"/>
      </w:pPr>
      <w:r>
        <w:t>Individuální elektronické nástroje</w:t>
      </w:r>
    </w:p>
    <w:p w:rsidR="00E14540" w:rsidRDefault="00E14540" w:rsidP="00E14540">
      <w:pPr>
        <w:jc w:val="both"/>
      </w:pPr>
      <w:r>
        <w:t>Změna oproti stávajícímu stavu spočívá v:</w:t>
      </w:r>
    </w:p>
    <w:p w:rsidR="00E14540" w:rsidRDefault="00E14540" w:rsidP="00C04CE4">
      <w:pPr>
        <w:pStyle w:val="ListParagraph"/>
        <w:numPr>
          <w:ilvl w:val="0"/>
          <w:numId w:val="6"/>
        </w:numPr>
        <w:jc w:val="both"/>
      </w:pPr>
      <w:r>
        <w:t>Rozšíření možností sdílení dat mezi elektronickými nástroji i v oblasti veřejných zakázek malého rozsahu</w:t>
      </w:r>
    </w:p>
    <w:p w:rsidR="00E14540" w:rsidRDefault="00E14540" w:rsidP="00C04CE4">
      <w:pPr>
        <w:pStyle w:val="ListParagraph"/>
        <w:numPr>
          <w:ilvl w:val="0"/>
          <w:numId w:val="6"/>
        </w:numPr>
        <w:jc w:val="both"/>
      </w:pPr>
      <w:r>
        <w:t xml:space="preserve">Vytvoření jednoho vstupu do „světa veřejných zakázek“ pro dodavatele při zachování různorodosti elektronických nástrojů u zadavatelů </w:t>
      </w:r>
    </w:p>
    <w:p w:rsidR="00E14540" w:rsidRDefault="00E14540" w:rsidP="00C04CE4">
      <w:pPr>
        <w:pStyle w:val="ListParagraph"/>
        <w:numPr>
          <w:ilvl w:val="0"/>
          <w:numId w:val="6"/>
        </w:numPr>
        <w:jc w:val="both"/>
      </w:pPr>
      <w:r>
        <w:lastRenderedPageBreak/>
        <w:t xml:space="preserve">Výrazným způsobem bude </w:t>
      </w:r>
      <w:r w:rsidR="00546D3D">
        <w:t>akcentována</w:t>
      </w:r>
      <w:r>
        <w:t xml:space="preserve"> pozice Portálu o veřejných zakázkách</w:t>
      </w:r>
    </w:p>
    <w:p w:rsidR="00E14540" w:rsidRDefault="00E14540" w:rsidP="00C04CE4">
      <w:pPr>
        <w:pStyle w:val="Heading2"/>
        <w:numPr>
          <w:ilvl w:val="1"/>
          <w:numId w:val="18"/>
        </w:numPr>
        <w:jc w:val="both"/>
      </w:pPr>
      <w:bookmarkStart w:id="20" w:name="_Toc528008367"/>
      <w:bookmarkEnd w:id="20"/>
      <w:r>
        <w:t>Portál o veřejných zakázkách</w:t>
      </w:r>
    </w:p>
    <w:p w:rsidR="00E14540" w:rsidRPr="00A27ACD" w:rsidRDefault="00E14540" w:rsidP="000F2B5A">
      <w:pPr>
        <w:jc w:val="both"/>
      </w:pPr>
      <w:r>
        <w:t>Jedním z hlavních pilířů nové koncepce NIPEZ 2.0 je Portál o veřejných zakázkách. V návaznosti na tuto novou pozici dojde k jeho přebudování, a to tak, aby plnil následující funkce:</w:t>
      </w:r>
    </w:p>
    <w:p w:rsidR="00E14540" w:rsidRPr="00A6418B" w:rsidRDefault="00E14540" w:rsidP="00C04CE4">
      <w:pPr>
        <w:pStyle w:val="ListParagraph"/>
        <w:numPr>
          <w:ilvl w:val="0"/>
          <w:numId w:val="11"/>
        </w:numPr>
        <w:jc w:val="both"/>
      </w:pPr>
      <w:r>
        <w:t>jedna platforma</w:t>
      </w:r>
      <w:r w:rsidRPr="00A6418B">
        <w:rPr>
          <w:rFonts w:eastAsia="Times New Roman" w:cs="Arial"/>
          <w:szCs w:val="20"/>
        </w:rPr>
        <w:t xml:space="preserve"> pro jednotný přístup dodavatelů k veřejným zakázkám  </w:t>
      </w:r>
    </w:p>
    <w:p w:rsidR="00E14540" w:rsidRDefault="00E14540" w:rsidP="00C04CE4">
      <w:pPr>
        <w:pStyle w:val="ListParagraph"/>
        <w:numPr>
          <w:ilvl w:val="0"/>
          <w:numId w:val="11"/>
        </w:numPr>
        <w:jc w:val="both"/>
      </w:pPr>
      <w:r w:rsidRPr="00A6418B">
        <w:t>sběrnice základních dat o veřejných zakázkách ze všech připojených elektronických nástrojů</w:t>
      </w:r>
    </w:p>
    <w:p w:rsidR="00E14540" w:rsidRDefault="00E14540" w:rsidP="000F2B5A">
      <w:pPr>
        <w:jc w:val="both"/>
      </w:pPr>
      <w:r>
        <w:t xml:space="preserve">Cílem tohoto opatření je vytvořit nadstavbovou platformu nad informačními systémy NIPEZ </w:t>
      </w:r>
      <w:r w:rsidR="00546D3D">
        <w:br/>
      </w:r>
      <w:r>
        <w:t>(IS NIPEZ) tak, aby z pohledu dodavatelů existovala jedna vstupní brána k trhu veřejných zakázek. Dojde k aktualizaci Portálu o veřejných zakázkách, který se bude skládat z 3 částí:</w:t>
      </w:r>
    </w:p>
    <w:p w:rsidR="00E14540" w:rsidRPr="00EB3223" w:rsidRDefault="00E14540" w:rsidP="000F2B5A">
      <w:pPr>
        <w:pStyle w:val="Normal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B3223">
        <w:rPr>
          <w:rFonts w:asciiTheme="minorHAnsi" w:hAnsiTheme="minorHAnsi" w:cstheme="minorHAnsi"/>
          <w:sz w:val="22"/>
          <w:szCs w:val="22"/>
        </w:rPr>
        <w:t xml:space="preserve">Sekce 1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EB3223">
        <w:rPr>
          <w:rFonts w:asciiTheme="minorHAnsi" w:hAnsiTheme="minorHAnsi" w:cstheme="minorHAnsi"/>
          <w:sz w:val="22"/>
          <w:szCs w:val="22"/>
        </w:rPr>
        <w:t xml:space="preserve"> teorie</w:t>
      </w:r>
      <w:r>
        <w:rPr>
          <w:rFonts w:asciiTheme="minorHAnsi" w:hAnsiTheme="minorHAnsi" w:cstheme="minorHAnsi"/>
          <w:sz w:val="22"/>
          <w:szCs w:val="22"/>
        </w:rPr>
        <w:t xml:space="preserve"> VZ</w:t>
      </w:r>
      <w:r w:rsidRPr="00EB3223">
        <w:rPr>
          <w:rFonts w:asciiTheme="minorHAnsi" w:hAnsiTheme="minorHAnsi" w:cstheme="minorHAnsi"/>
          <w:sz w:val="22"/>
          <w:szCs w:val="22"/>
        </w:rPr>
        <w:t>: články ve stromové struktuře, legislat</w:t>
      </w:r>
      <w:r>
        <w:rPr>
          <w:rFonts w:asciiTheme="minorHAnsi" w:hAnsiTheme="minorHAnsi" w:cstheme="minorHAnsi"/>
          <w:sz w:val="22"/>
          <w:szCs w:val="22"/>
        </w:rPr>
        <w:t>iva, metodiky, výroční zprávy</w:t>
      </w:r>
    </w:p>
    <w:p w:rsidR="00E14540" w:rsidRPr="00EB3223" w:rsidRDefault="00E14540" w:rsidP="000F2B5A">
      <w:pPr>
        <w:pStyle w:val="Normal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B3223">
        <w:rPr>
          <w:rFonts w:asciiTheme="minorHAnsi" w:hAnsiTheme="minorHAnsi" w:cstheme="minorHAnsi"/>
          <w:sz w:val="22"/>
          <w:szCs w:val="22"/>
        </w:rPr>
        <w:t>Sekce 2 - život VZ: články ve stromové struktuře o aktuálním dění, kalendář školení</w:t>
      </w:r>
      <w:r>
        <w:rPr>
          <w:rFonts w:asciiTheme="minorHAnsi" w:hAnsiTheme="minorHAnsi" w:cstheme="minorHAnsi"/>
          <w:sz w:val="22"/>
          <w:szCs w:val="22"/>
        </w:rPr>
        <w:t xml:space="preserve"> včetně možnosti přihlašování se na školení</w:t>
      </w:r>
      <w:r w:rsidRPr="00EB3223">
        <w:rPr>
          <w:rFonts w:asciiTheme="minorHAnsi" w:hAnsiTheme="minorHAnsi" w:cstheme="minorHAnsi"/>
          <w:sz w:val="22"/>
          <w:szCs w:val="22"/>
        </w:rPr>
        <w:t xml:space="preserve">, aktuality pro zadavatele, </w:t>
      </w:r>
      <w:proofErr w:type="spellStart"/>
      <w:r w:rsidRPr="00EB3223">
        <w:rPr>
          <w:rFonts w:asciiTheme="minorHAnsi" w:hAnsiTheme="minorHAnsi" w:cstheme="minorHAnsi"/>
          <w:sz w:val="22"/>
          <w:szCs w:val="22"/>
        </w:rPr>
        <w:t>info-forum</w:t>
      </w:r>
      <w:proofErr w:type="spellEnd"/>
    </w:p>
    <w:p w:rsidR="00E14540" w:rsidRPr="00EB3223" w:rsidRDefault="00E14540" w:rsidP="000F2B5A">
      <w:pPr>
        <w:pStyle w:val="Normal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B3223">
        <w:rPr>
          <w:rFonts w:asciiTheme="minorHAnsi" w:hAnsiTheme="minorHAnsi" w:cstheme="minorHAnsi"/>
          <w:sz w:val="22"/>
          <w:szCs w:val="22"/>
        </w:rPr>
        <w:t>Sekce 3 - zakázky – interaktivní část – napo</w:t>
      </w:r>
      <w:r>
        <w:rPr>
          <w:rFonts w:asciiTheme="minorHAnsi" w:hAnsiTheme="minorHAnsi" w:cstheme="minorHAnsi"/>
          <w:sz w:val="22"/>
          <w:szCs w:val="22"/>
        </w:rPr>
        <w:t xml:space="preserve">jení na jiné informační systémy, </w:t>
      </w:r>
      <w:r w:rsidRPr="00EB3223">
        <w:rPr>
          <w:rFonts w:asciiTheme="minorHAnsi" w:hAnsiTheme="minorHAnsi" w:cstheme="minorHAnsi"/>
          <w:sz w:val="22"/>
          <w:szCs w:val="22"/>
        </w:rPr>
        <w:t>vytváření přehledů zakázek (například v podobě mapy, kde se budou zobr</w:t>
      </w:r>
      <w:r>
        <w:rPr>
          <w:rFonts w:asciiTheme="minorHAnsi" w:hAnsiTheme="minorHAnsi" w:cstheme="minorHAnsi"/>
          <w:sz w:val="22"/>
          <w:szCs w:val="22"/>
        </w:rPr>
        <w:t xml:space="preserve">azovat místa vypsaných zakázek), možnost vyhledávání veřejných zakázek napříč propojenými informačními </w:t>
      </w:r>
      <w:proofErr w:type="gramStart"/>
      <w:r>
        <w:rPr>
          <w:rFonts w:asciiTheme="minorHAnsi" w:hAnsiTheme="minorHAnsi" w:cstheme="minorHAnsi"/>
          <w:sz w:val="22"/>
          <w:szCs w:val="22"/>
        </w:rPr>
        <w:t>systémy,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atd.</w:t>
      </w:r>
    </w:p>
    <w:p w:rsidR="00E14540" w:rsidRDefault="00E14540" w:rsidP="000F2B5A">
      <w:pPr>
        <w:jc w:val="both"/>
      </w:pPr>
      <w:r>
        <w:t>Do Portálu o veřejných zakázkách bude možno připojovat další informační systémy, a to po</w:t>
      </w:r>
      <w:r w:rsidR="006048B5">
        <w:t xml:space="preserve"> splnění předepsaných podmínek. Těmito podmínkami jsou:</w:t>
      </w:r>
    </w:p>
    <w:p w:rsidR="006048B5" w:rsidRDefault="006048B5" w:rsidP="006048B5">
      <w:pPr>
        <w:pStyle w:val="ListParagraph"/>
        <w:numPr>
          <w:ilvl w:val="0"/>
          <w:numId w:val="11"/>
        </w:numPr>
        <w:jc w:val="both"/>
      </w:pPr>
      <w:r>
        <w:t xml:space="preserve">certifikace elektronického nástroje dle </w:t>
      </w:r>
      <w:r w:rsidR="004B24C8">
        <w:t>vyhlášky 260/2016Sb. o certifikaci elektronických nástrojů</w:t>
      </w:r>
      <w:r>
        <w:t xml:space="preserve"> na funkčnost </w:t>
      </w:r>
      <w:r w:rsidR="004B24C8">
        <w:t xml:space="preserve">minimálně </w:t>
      </w:r>
      <w:r>
        <w:t>profil</w:t>
      </w:r>
      <w:r w:rsidR="004B24C8">
        <w:t>u</w:t>
      </w:r>
      <w:r>
        <w:t xml:space="preserve"> zadavatele</w:t>
      </w:r>
    </w:p>
    <w:p w:rsidR="006048B5" w:rsidRDefault="006048B5" w:rsidP="006048B5">
      <w:pPr>
        <w:pStyle w:val="ListParagraph"/>
        <w:numPr>
          <w:ilvl w:val="0"/>
          <w:numId w:val="11"/>
        </w:numPr>
        <w:jc w:val="both"/>
      </w:pPr>
      <w:r>
        <w:t>splnění technických podmínek připojení uveřejněných na portal-vz.cz.</w:t>
      </w:r>
    </w:p>
    <w:p w:rsidR="00E14540" w:rsidRDefault="00E14540" w:rsidP="000F2B5A">
      <w:pPr>
        <w:jc w:val="both"/>
      </w:pPr>
      <w:r>
        <w:t>Úloha a role ostatních informačních systémů sdružených do NIPEZ 2.0 zůstane zachována, tj</w:t>
      </w:r>
      <w:r w:rsidR="00F72E81">
        <w:t>.</w:t>
      </w:r>
      <w:r>
        <w:t>:</w:t>
      </w:r>
    </w:p>
    <w:p w:rsidR="00E14540" w:rsidRDefault="00E14540" w:rsidP="00C04CE4">
      <w:pPr>
        <w:pStyle w:val="Heading2"/>
        <w:numPr>
          <w:ilvl w:val="1"/>
          <w:numId w:val="18"/>
        </w:numPr>
        <w:jc w:val="both"/>
      </w:pPr>
      <w:r>
        <w:t xml:space="preserve">Národní elektronický nástroj </w:t>
      </w:r>
    </w:p>
    <w:p w:rsidR="00E14540" w:rsidRDefault="00E14540" w:rsidP="00C04CE4">
      <w:pPr>
        <w:pStyle w:val="ListParagraph"/>
        <w:numPr>
          <w:ilvl w:val="0"/>
          <w:numId w:val="12"/>
        </w:numPr>
        <w:jc w:val="both"/>
      </w:pPr>
      <w:r>
        <w:t xml:space="preserve">provozován na adrese </w:t>
      </w:r>
      <w:r w:rsidRPr="002047B7">
        <w:t>https://nen.nipez.cz/</w:t>
      </w:r>
    </w:p>
    <w:p w:rsidR="00E14540" w:rsidRDefault="00E14540" w:rsidP="00C04CE4">
      <w:pPr>
        <w:pStyle w:val="ListParagraph"/>
        <w:numPr>
          <w:ilvl w:val="0"/>
          <w:numId w:val="12"/>
        </w:numPr>
        <w:jc w:val="both"/>
      </w:pPr>
      <w:r>
        <w:t xml:space="preserve">nástroj dle § 213 ZZVZ a vyhlášky </w:t>
      </w:r>
      <w:r w:rsidR="00384009">
        <w:t xml:space="preserve">č. </w:t>
      </w:r>
      <w:r>
        <w:t>260/2016</w:t>
      </w:r>
      <w:r w:rsidR="00F72E81">
        <w:t xml:space="preserve"> </w:t>
      </w:r>
      <w:r>
        <w:t>Sb. o certifikaci elektronických nástrojů sloužící k elektronické komunikaci při zadávání veřejných zakázek</w:t>
      </w:r>
    </w:p>
    <w:p w:rsidR="00E14540" w:rsidRDefault="00E14540" w:rsidP="00C04CE4">
      <w:pPr>
        <w:pStyle w:val="ListParagraph"/>
        <w:numPr>
          <w:ilvl w:val="0"/>
          <w:numId w:val="12"/>
        </w:numPr>
        <w:jc w:val="both"/>
      </w:pPr>
      <w:r>
        <w:t>jeho sprá</w:t>
      </w:r>
      <w:r w:rsidR="00F72E81">
        <w:t>vu a povinné využívání stanoví u</w:t>
      </w:r>
      <w:r>
        <w:t xml:space="preserve">snesení </w:t>
      </w:r>
      <w:r w:rsidR="00F72E81">
        <w:t>v</w:t>
      </w:r>
      <w:r>
        <w:t xml:space="preserve">lády č. 628/2014 k používání NEN v rámci </w:t>
      </w:r>
      <w:proofErr w:type="gramStart"/>
      <w:r>
        <w:t>NIPEZ  a</w:t>
      </w:r>
      <w:proofErr w:type="gramEnd"/>
      <w:r>
        <w:t xml:space="preserve"> </w:t>
      </w:r>
      <w:r w:rsidR="00F72E81">
        <w:t>u</w:t>
      </w:r>
      <w:r>
        <w:t xml:space="preserve">snesení </w:t>
      </w:r>
      <w:r w:rsidR="00F72E81">
        <w:t>v</w:t>
      </w:r>
      <w:r>
        <w:t>lády č. 408/2018 o povinném využívání NEN</w:t>
      </w:r>
      <w:r w:rsidR="00F72E81">
        <w:t>.</w:t>
      </w:r>
    </w:p>
    <w:p w:rsidR="00E14540" w:rsidRDefault="00E14540" w:rsidP="00C04CE4">
      <w:pPr>
        <w:pStyle w:val="Heading2"/>
        <w:numPr>
          <w:ilvl w:val="1"/>
          <w:numId w:val="18"/>
        </w:numPr>
        <w:jc w:val="both"/>
      </w:pPr>
      <w:r>
        <w:t>Věstník veřejných zakázek</w:t>
      </w:r>
    </w:p>
    <w:p w:rsidR="00E14540" w:rsidRDefault="00E14540" w:rsidP="00C04CE4">
      <w:pPr>
        <w:pStyle w:val="ListParagraph"/>
        <w:numPr>
          <w:ilvl w:val="0"/>
          <w:numId w:val="6"/>
        </w:numPr>
        <w:jc w:val="both"/>
      </w:pPr>
      <w:r>
        <w:t xml:space="preserve">provozován na adrese - </w:t>
      </w:r>
      <w:r w:rsidRPr="002047B7">
        <w:t>https://vestnikverejnychzakazek.cz/</w:t>
      </w:r>
    </w:p>
    <w:p w:rsidR="00E14540" w:rsidRDefault="00E14540" w:rsidP="00C04CE4">
      <w:pPr>
        <w:pStyle w:val="ListParagraph"/>
        <w:numPr>
          <w:ilvl w:val="0"/>
          <w:numId w:val="6"/>
        </w:numPr>
        <w:jc w:val="both"/>
      </w:pPr>
      <w:r>
        <w:t>nástroj dle §</w:t>
      </w:r>
      <w:r w:rsidR="00F72E81">
        <w:t xml:space="preserve"> </w:t>
      </w:r>
      <w:r>
        <w:t xml:space="preserve">225 ZZVZ sloužící k uveřejňování informací o veřejných zakázkách, a to dle vyhlášky </w:t>
      </w:r>
      <w:r w:rsidR="00F72E81">
        <w:t xml:space="preserve">č. </w:t>
      </w:r>
      <w:r>
        <w:t>168/2016</w:t>
      </w:r>
      <w:r w:rsidR="00F72E81">
        <w:t xml:space="preserve"> </w:t>
      </w:r>
      <w:r>
        <w:t>Sb. o</w:t>
      </w:r>
      <w:r>
        <w:rPr>
          <w:rFonts w:ascii="Arial" w:hAnsi="Arial" w:cs="Arial"/>
          <w:i/>
          <w:iCs/>
          <w:color w:val="070707"/>
          <w:sz w:val="26"/>
          <w:szCs w:val="26"/>
          <w:shd w:val="clear" w:color="auto" w:fill="FFFFFF"/>
        </w:rPr>
        <w:t> </w:t>
      </w:r>
      <w:r w:rsidRPr="00F952BB">
        <w:t>uveřejňování formulářů pro účely zákona o zadávání veřejných zakázek a náležitostech profilu zadavatele</w:t>
      </w:r>
    </w:p>
    <w:p w:rsidR="00E14540" w:rsidRDefault="00E14540" w:rsidP="00C04CE4">
      <w:pPr>
        <w:pStyle w:val="ListParagraph"/>
        <w:numPr>
          <w:ilvl w:val="0"/>
          <w:numId w:val="6"/>
        </w:numPr>
        <w:jc w:val="both"/>
      </w:pPr>
      <w:r>
        <w:t>v návaznosti na opatření C. 3 Strategie (a tohoto akčního plánu) dojde k vybudování nového Věstníku veřejných zakázek.</w:t>
      </w:r>
    </w:p>
    <w:p w:rsidR="00E14540" w:rsidRDefault="00E14540" w:rsidP="00C04CE4">
      <w:pPr>
        <w:pStyle w:val="Heading2"/>
        <w:numPr>
          <w:ilvl w:val="1"/>
          <w:numId w:val="18"/>
        </w:numPr>
        <w:jc w:val="both"/>
      </w:pPr>
      <w:r>
        <w:lastRenderedPageBreak/>
        <w:t>Informační systém o veřejných zakázkách</w:t>
      </w:r>
    </w:p>
    <w:p w:rsidR="00E14540" w:rsidRPr="00F952BB" w:rsidRDefault="00E14540" w:rsidP="00E14540">
      <w:pPr>
        <w:jc w:val="both"/>
        <w:rPr>
          <w:b/>
        </w:rPr>
      </w:pPr>
      <w:r w:rsidRPr="00F952BB">
        <w:rPr>
          <w:b/>
        </w:rPr>
        <w:t>Stávající stav</w:t>
      </w:r>
    </w:p>
    <w:p w:rsidR="00E14540" w:rsidRDefault="00E14540" w:rsidP="00C04CE4">
      <w:pPr>
        <w:pStyle w:val="ListParagraph"/>
        <w:numPr>
          <w:ilvl w:val="0"/>
          <w:numId w:val="6"/>
        </w:numPr>
        <w:jc w:val="both"/>
      </w:pPr>
      <w:r>
        <w:t xml:space="preserve">provozován na adrese </w:t>
      </w:r>
      <w:hyperlink r:id="rId26" w:history="1">
        <w:r w:rsidRPr="00F940D8">
          <w:rPr>
            <w:rStyle w:val="Hyperlink"/>
          </w:rPr>
          <w:t>http://www.isvz.cz/ISVZ/Podpora/ISVZ.aspx</w:t>
        </w:r>
      </w:hyperlink>
    </w:p>
    <w:p w:rsidR="00E14540" w:rsidRDefault="00E14540" w:rsidP="00C04CE4">
      <w:pPr>
        <w:pStyle w:val="ListParagraph"/>
        <w:numPr>
          <w:ilvl w:val="0"/>
          <w:numId w:val="6"/>
        </w:numPr>
        <w:jc w:val="both"/>
      </w:pPr>
      <w:r>
        <w:t>nástroj dle části 11 ZZVZ, jehož součástí je funkčnost pro vedení seznamu kvalifikovaných dodavatelů a statistický modul</w:t>
      </w:r>
    </w:p>
    <w:p w:rsidR="00E14540" w:rsidRPr="00F952BB" w:rsidRDefault="00E14540" w:rsidP="00E14540">
      <w:pPr>
        <w:jc w:val="both"/>
        <w:rPr>
          <w:b/>
        </w:rPr>
      </w:pPr>
      <w:r w:rsidRPr="00F952BB">
        <w:rPr>
          <w:b/>
        </w:rPr>
        <w:t>Plánovaný stav</w:t>
      </w:r>
    </w:p>
    <w:p w:rsidR="00E14540" w:rsidRDefault="00E14540" w:rsidP="00C04CE4">
      <w:pPr>
        <w:pStyle w:val="ListParagraph"/>
        <w:numPr>
          <w:ilvl w:val="0"/>
          <w:numId w:val="6"/>
        </w:numPr>
        <w:jc w:val="both"/>
      </w:pPr>
      <w:r>
        <w:t xml:space="preserve">nově dojde k technickému rozdělení modulu pro </w:t>
      </w:r>
    </w:p>
    <w:p w:rsidR="00E14540" w:rsidRDefault="00E14540" w:rsidP="00C04CE4">
      <w:pPr>
        <w:pStyle w:val="ListParagraph"/>
        <w:numPr>
          <w:ilvl w:val="1"/>
          <w:numId w:val="6"/>
        </w:numPr>
        <w:jc w:val="both"/>
      </w:pPr>
      <w:r>
        <w:t xml:space="preserve">systém určený pro vedení Seznamu kvalifikovaných dodavatelů a </w:t>
      </w:r>
    </w:p>
    <w:p w:rsidR="00E14540" w:rsidRDefault="00E14540" w:rsidP="00C04CE4">
      <w:pPr>
        <w:pStyle w:val="ListParagraph"/>
        <w:numPr>
          <w:ilvl w:val="1"/>
          <w:numId w:val="6"/>
        </w:numPr>
        <w:jc w:val="both"/>
      </w:pPr>
      <w:r>
        <w:t>systém určený pro vytváření statistik</w:t>
      </w:r>
      <w:r w:rsidR="006048B5">
        <w:t>y</w:t>
      </w:r>
    </w:p>
    <w:p w:rsidR="00E14540" w:rsidRDefault="00E14540" w:rsidP="00C04CE4">
      <w:pPr>
        <w:pStyle w:val="ListParagraph"/>
        <w:numPr>
          <w:ilvl w:val="0"/>
          <w:numId w:val="6"/>
        </w:numPr>
        <w:jc w:val="both"/>
      </w:pPr>
      <w:r>
        <w:t>stávající funkčnost systémů zůstane zachována</w:t>
      </w:r>
      <w:r w:rsidR="00566BE3">
        <w:t>, legislativně nebude potřeba změna</w:t>
      </w:r>
    </w:p>
    <w:p w:rsidR="00E14540" w:rsidRDefault="00E14540" w:rsidP="00C04CE4">
      <w:pPr>
        <w:pStyle w:val="Heading2"/>
        <w:numPr>
          <w:ilvl w:val="1"/>
          <w:numId w:val="18"/>
        </w:numPr>
        <w:jc w:val="both"/>
      </w:pPr>
      <w:r>
        <w:t>Individuální elektronické nástroje</w:t>
      </w:r>
    </w:p>
    <w:p w:rsidR="00E14540" w:rsidRDefault="00E14540" w:rsidP="00C04CE4">
      <w:pPr>
        <w:pStyle w:val="ListParagraph"/>
        <w:numPr>
          <w:ilvl w:val="0"/>
          <w:numId w:val="6"/>
        </w:numPr>
        <w:jc w:val="both"/>
      </w:pPr>
      <w:r>
        <w:t>jedná se o nástroje k elektronickému zadávání veřejných zakázek</w:t>
      </w:r>
    </w:p>
    <w:p w:rsidR="00E14540" w:rsidRDefault="00E14540" w:rsidP="00C04CE4">
      <w:pPr>
        <w:pStyle w:val="ListParagraph"/>
        <w:numPr>
          <w:ilvl w:val="0"/>
          <w:numId w:val="6"/>
        </w:numPr>
        <w:jc w:val="both"/>
      </w:pPr>
      <w:r>
        <w:t xml:space="preserve">jejich funkčnost je upravena vyhláškou </w:t>
      </w:r>
      <w:r w:rsidR="00F72E81">
        <w:t xml:space="preserve">č. </w:t>
      </w:r>
      <w:r>
        <w:t>260/2016</w:t>
      </w:r>
      <w:r w:rsidR="00F72E81">
        <w:t xml:space="preserve"> </w:t>
      </w:r>
      <w:r>
        <w:t>Sb. o certifikaci elektronických nástrojů</w:t>
      </w:r>
    </w:p>
    <w:p w:rsidR="00E14540" w:rsidRDefault="00E14540" w:rsidP="00C04CE4">
      <w:pPr>
        <w:pStyle w:val="ListParagraph"/>
        <w:numPr>
          <w:ilvl w:val="0"/>
          <w:numId w:val="6"/>
        </w:numPr>
        <w:jc w:val="both"/>
      </w:pPr>
      <w:r>
        <w:t>certifikace elektronického nástroje není povinná</w:t>
      </w:r>
    </w:p>
    <w:p w:rsidR="00E14540" w:rsidRDefault="00E14540" w:rsidP="00C04CE4">
      <w:pPr>
        <w:pStyle w:val="ListParagraph"/>
        <w:numPr>
          <w:ilvl w:val="0"/>
          <w:numId w:val="6"/>
        </w:numPr>
        <w:jc w:val="both"/>
      </w:pPr>
      <w:r>
        <w:t xml:space="preserve">v současné době existuje 5 elektronických nástrojů, které plně pokrývají požadavky vyhlášky </w:t>
      </w:r>
      <w:r w:rsidR="00F72E81">
        <w:t xml:space="preserve">č. </w:t>
      </w:r>
      <w:r>
        <w:t>260/2016</w:t>
      </w:r>
      <w:r w:rsidR="00F72E81">
        <w:t xml:space="preserve"> </w:t>
      </w:r>
      <w:r>
        <w:t>Sb.</w:t>
      </w:r>
    </w:p>
    <w:p w:rsidR="00E14540" w:rsidRPr="00566BE3" w:rsidRDefault="00E14540" w:rsidP="00C04CE4">
      <w:pPr>
        <w:pStyle w:val="ListParagraph"/>
        <w:numPr>
          <w:ilvl w:val="0"/>
          <w:numId w:val="6"/>
        </w:numPr>
        <w:jc w:val="both"/>
        <w:rPr>
          <w:rStyle w:val="Hyperlink"/>
          <w:color w:val="auto"/>
          <w:u w:val="none"/>
        </w:rPr>
      </w:pPr>
      <w:r>
        <w:t xml:space="preserve">přehled všech certifikovaných nástrojů je uveřejněn na adrese </w:t>
      </w:r>
      <w:hyperlink r:id="rId27" w:history="1">
        <w:r w:rsidRPr="00F940D8">
          <w:rPr>
            <w:rStyle w:val="Hyperlink"/>
          </w:rPr>
          <w:t>http://portal-vz.cz/cs/Jak-na-zadavani-verejnych-zakazek/Elektronicke-zadavani-verejnych-zakazek/Seznam-certifikovanych-el-nastroju-dle-zakona-c-134-2016-Sb</w:t>
        </w:r>
      </w:hyperlink>
    </w:p>
    <w:p w:rsidR="00566BE3" w:rsidRDefault="00566BE3" w:rsidP="00566BE3">
      <w:pPr>
        <w:pStyle w:val="ListParagraph"/>
        <w:numPr>
          <w:ilvl w:val="0"/>
          <w:numId w:val="6"/>
        </w:numPr>
        <w:jc w:val="both"/>
      </w:pPr>
      <w:r w:rsidRPr="00566BE3">
        <w:t>Individuální elektronické nástroj</w:t>
      </w:r>
      <w:r>
        <w:t>e</w:t>
      </w:r>
      <w:r w:rsidRPr="00566BE3">
        <w:t xml:space="preserve"> mohou využívat zadavat</w:t>
      </w:r>
      <w:r>
        <w:t xml:space="preserve">elé, </w:t>
      </w:r>
      <w:r w:rsidRPr="00566BE3">
        <w:t>na něž nedopadá povinnost využívat NEN</w:t>
      </w:r>
      <w:r>
        <w:t xml:space="preserve"> dle UV </w:t>
      </w:r>
      <w:r w:rsidR="00F72E81">
        <w:t xml:space="preserve">č. </w:t>
      </w:r>
      <w:r>
        <w:t>408/2018 o povinném využívání NEN.</w:t>
      </w:r>
    </w:p>
    <w:p w:rsidR="00E14540" w:rsidRDefault="00E14540" w:rsidP="00C04CE4">
      <w:pPr>
        <w:pStyle w:val="Heading2"/>
        <w:numPr>
          <w:ilvl w:val="1"/>
          <w:numId w:val="18"/>
        </w:numPr>
        <w:jc w:val="both"/>
      </w:pPr>
      <w:r>
        <w:t>Provozní činnosti</w:t>
      </w:r>
    </w:p>
    <w:p w:rsidR="00E14540" w:rsidRDefault="00E14540" w:rsidP="000E1FD4">
      <w:pPr>
        <w:jc w:val="both"/>
      </w:pPr>
      <w:r>
        <w:t>Postupně dojde k centralizaci vybraných provozních služeb. Tyto budou poskytovány jednotně napříč všemi IS NIPEZ (s výjimkou IEN). Jedná se o služby:</w:t>
      </w:r>
    </w:p>
    <w:p w:rsidR="00E14540" w:rsidRDefault="00E14540" w:rsidP="000E1FD4">
      <w:pPr>
        <w:pStyle w:val="ListParagraph"/>
        <w:numPr>
          <w:ilvl w:val="0"/>
          <w:numId w:val="6"/>
        </w:numPr>
        <w:jc w:val="both"/>
      </w:pPr>
      <w:r>
        <w:t>bezpečnostní monitoring</w:t>
      </w:r>
    </w:p>
    <w:p w:rsidR="00E14540" w:rsidRDefault="00E14540" w:rsidP="000E1FD4">
      <w:pPr>
        <w:pStyle w:val="ListParagraph"/>
        <w:numPr>
          <w:ilvl w:val="0"/>
          <w:numId w:val="6"/>
        </w:numPr>
        <w:jc w:val="both"/>
      </w:pPr>
      <w:proofErr w:type="spellStart"/>
      <w:r>
        <w:t>service</w:t>
      </w:r>
      <w:proofErr w:type="spellEnd"/>
      <w:r>
        <w:t xml:space="preserve"> </w:t>
      </w:r>
      <w:proofErr w:type="spellStart"/>
      <w:r>
        <w:t>desk</w:t>
      </w:r>
      <w:proofErr w:type="spellEnd"/>
    </w:p>
    <w:p w:rsidR="00E14540" w:rsidRDefault="00E14540" w:rsidP="000E1FD4">
      <w:pPr>
        <w:pStyle w:val="ListParagraph"/>
        <w:numPr>
          <w:ilvl w:val="0"/>
          <w:numId w:val="6"/>
        </w:numPr>
        <w:jc w:val="both"/>
      </w:pPr>
      <w:r>
        <w:t>archivace dat</w:t>
      </w:r>
    </w:p>
    <w:p w:rsidR="00A120C5" w:rsidRDefault="00A120C5" w:rsidP="000E1FD4">
      <w:pPr>
        <w:pStyle w:val="Heading2"/>
        <w:numPr>
          <w:ilvl w:val="1"/>
          <w:numId w:val="18"/>
        </w:numPr>
        <w:jc w:val="both"/>
      </w:pPr>
      <w:r w:rsidRPr="00A120C5">
        <w:t>Poskytování otevřených dat a možnosti napojení na ostatní IS NIPEZ</w:t>
      </w:r>
    </w:p>
    <w:p w:rsidR="00A120C5" w:rsidRPr="00A120C5" w:rsidRDefault="00876B44" w:rsidP="000E1FD4">
      <w:pPr>
        <w:jc w:val="both"/>
      </w:pPr>
      <w:r>
        <w:t>Dojde k vytvoření centrálního zdroje otevřených dat včetně automatického procesu dohledu na kvalit</w:t>
      </w:r>
      <w:r w:rsidR="000E1FD4">
        <w:t>o</w:t>
      </w:r>
      <w:r>
        <w:t xml:space="preserve">u publikovaných dat. Tyto data budou k dispozici </w:t>
      </w:r>
      <w:r w:rsidR="000E1FD4">
        <w:t xml:space="preserve">následně </w:t>
      </w:r>
      <w:r>
        <w:t>formou open dat</w:t>
      </w:r>
      <w:r w:rsidR="000E1FD4">
        <w:t xml:space="preserve"> k dalšímu využití</w:t>
      </w:r>
      <w:r>
        <w:t>.</w:t>
      </w:r>
    </w:p>
    <w:p w:rsidR="00A120C5" w:rsidRDefault="00A120C5" w:rsidP="00C04CE4">
      <w:pPr>
        <w:pStyle w:val="Heading2"/>
        <w:numPr>
          <w:ilvl w:val="1"/>
          <w:numId w:val="18"/>
        </w:numPr>
        <w:jc w:val="both"/>
      </w:pPr>
      <w:r>
        <w:t>Principy budování NIPEZ 2.0</w:t>
      </w:r>
    </w:p>
    <w:p w:rsidR="00E14540" w:rsidRDefault="00E14540" w:rsidP="00A120C5">
      <w:pPr>
        <w:jc w:val="both"/>
      </w:pPr>
      <w:r>
        <w:t>NIPEZ 2.0 bude budována a rozvíjena v souladu s následujícími principy:</w:t>
      </w:r>
    </w:p>
    <w:p w:rsidR="00E14540" w:rsidRDefault="000F2B5A" w:rsidP="00C04CE4">
      <w:pPr>
        <w:pStyle w:val="ListParagraph"/>
        <w:numPr>
          <w:ilvl w:val="0"/>
          <w:numId w:val="6"/>
        </w:numPr>
        <w:jc w:val="both"/>
      </w:pPr>
      <w:r>
        <w:t>maximální UX přívětivost IS NIPEZ odpovídající aktuálním technologickým a uživatelským trendům</w:t>
      </w:r>
    </w:p>
    <w:p w:rsidR="00DC5BB7" w:rsidRDefault="000F2B5A" w:rsidP="00C04CE4">
      <w:pPr>
        <w:pStyle w:val="ListParagraph"/>
        <w:numPr>
          <w:ilvl w:val="0"/>
          <w:numId w:val="6"/>
        </w:numPr>
        <w:jc w:val="both"/>
      </w:pPr>
      <w:r>
        <w:t xml:space="preserve">jednoduchost </w:t>
      </w:r>
      <w:r w:rsidR="00DC5BB7">
        <w:t>provozní dokumentace IS NIPEZ</w:t>
      </w:r>
    </w:p>
    <w:p w:rsidR="000F2B5A" w:rsidRDefault="00DC5BB7" w:rsidP="00C04CE4">
      <w:pPr>
        <w:pStyle w:val="ListParagraph"/>
        <w:numPr>
          <w:ilvl w:val="0"/>
          <w:numId w:val="6"/>
        </w:numPr>
        <w:jc w:val="both"/>
      </w:pPr>
      <w:r>
        <w:lastRenderedPageBreak/>
        <w:t>využívání moderních způsobů</w:t>
      </w:r>
      <w:r w:rsidR="000F2B5A">
        <w:t xml:space="preserve"> průběžného informování uživatelů o aktualitách, provozních událostech</w:t>
      </w:r>
      <w:r>
        <w:t xml:space="preserve"> NIPEZ</w:t>
      </w:r>
    </w:p>
    <w:p w:rsidR="00A120C5" w:rsidRPr="00A120C5" w:rsidRDefault="00A120C5" w:rsidP="00C04CE4">
      <w:pPr>
        <w:pStyle w:val="ListParagraph"/>
        <w:numPr>
          <w:ilvl w:val="0"/>
          <w:numId w:val="6"/>
        </w:numPr>
        <w:jc w:val="both"/>
      </w:pPr>
      <w:r w:rsidRPr="00A120C5">
        <w:t>poskytování maximálního rozsahu otevřených dat</w:t>
      </w:r>
      <w:r w:rsidR="00BC546B">
        <w:t xml:space="preserve"> veřejnosti </w:t>
      </w:r>
    </w:p>
    <w:p w:rsidR="00A120C5" w:rsidRPr="00A120C5" w:rsidRDefault="00A120C5" w:rsidP="00C04CE4">
      <w:pPr>
        <w:pStyle w:val="ListParagraph"/>
        <w:numPr>
          <w:ilvl w:val="0"/>
          <w:numId w:val="6"/>
        </w:numPr>
        <w:jc w:val="both"/>
      </w:pPr>
      <w:r w:rsidRPr="00A120C5">
        <w:t xml:space="preserve">maximální interoperabilita s ostatními IS NIPEZ a IS eGovernment </w:t>
      </w:r>
      <w:r w:rsidR="00C30D4C">
        <w:t>–</w:t>
      </w:r>
      <w:r w:rsidRPr="00A120C5">
        <w:t xml:space="preserve"> konsolidace a propojování IS veřejné správy</w:t>
      </w:r>
    </w:p>
    <w:p w:rsidR="00A120C5" w:rsidRPr="00A120C5" w:rsidRDefault="00A120C5" w:rsidP="00C04CE4">
      <w:pPr>
        <w:pStyle w:val="ListParagraph"/>
        <w:numPr>
          <w:ilvl w:val="0"/>
          <w:numId w:val="6"/>
        </w:numPr>
        <w:jc w:val="both"/>
      </w:pPr>
      <w:r w:rsidRPr="00A120C5">
        <w:t>omezení budování monolitických systémů</w:t>
      </w:r>
    </w:p>
    <w:p w:rsidR="00A120C5" w:rsidRDefault="00BC546B" w:rsidP="00C04CE4">
      <w:pPr>
        <w:pStyle w:val="ListParagraph"/>
        <w:numPr>
          <w:ilvl w:val="0"/>
          <w:numId w:val="6"/>
        </w:numPr>
        <w:jc w:val="both"/>
      </w:pPr>
      <w:r>
        <w:t>p</w:t>
      </w:r>
      <w:r w:rsidR="00A120C5" w:rsidRPr="00A120C5">
        <w:t>rincip single sign on</w:t>
      </w:r>
    </w:p>
    <w:p w:rsidR="00566BE3" w:rsidRDefault="00566BE3" w:rsidP="00C04CE4">
      <w:pPr>
        <w:pStyle w:val="ListParagraph"/>
        <w:numPr>
          <w:ilvl w:val="0"/>
          <w:numId w:val="6"/>
        </w:numPr>
        <w:jc w:val="both"/>
      </w:pPr>
      <w:r>
        <w:t>důraz na centralizaci provozních aktivit napříč IS NIPEZ</w:t>
      </w:r>
    </w:p>
    <w:p w:rsidR="00763512" w:rsidRDefault="00BC546B" w:rsidP="00763512">
      <w:pPr>
        <w:pStyle w:val="ListParagraph"/>
        <w:numPr>
          <w:ilvl w:val="0"/>
          <w:numId w:val="6"/>
        </w:numPr>
        <w:jc w:val="both"/>
      </w:pPr>
      <w:r>
        <w:t xml:space="preserve">maximální využití </w:t>
      </w:r>
      <w:r w:rsidR="00F72E81">
        <w:t xml:space="preserve">možných sdílených služeb a dat </w:t>
      </w:r>
      <w:r>
        <w:t xml:space="preserve">v rámci NIPEZ (jednotný systém rolí a </w:t>
      </w:r>
      <w:proofErr w:type="gramStart"/>
      <w:r>
        <w:t>oprávnění,</w:t>
      </w:r>
      <w:proofErr w:type="gramEnd"/>
      <w:r>
        <w:t xml:space="preserve"> atd.)</w:t>
      </w:r>
    </w:p>
    <w:p w:rsidR="001C3DF7" w:rsidRDefault="001C3DF7" w:rsidP="00763512">
      <w:pPr>
        <w:pStyle w:val="TableofFigures"/>
        <w:pageBreakBefore/>
        <w:tabs>
          <w:tab w:val="right" w:leader="dot" w:pos="9062"/>
        </w:tabs>
        <w:rPr>
          <w:b/>
        </w:rPr>
      </w:pPr>
      <w:r w:rsidRPr="000C774C">
        <w:rPr>
          <w:b/>
        </w:rPr>
        <w:lastRenderedPageBreak/>
        <w:t>Seznam grafů</w:t>
      </w:r>
      <w:r>
        <w:rPr>
          <w:b/>
        </w:rPr>
        <w:t xml:space="preserve"> a schémat</w:t>
      </w:r>
    </w:p>
    <w:p w:rsidR="001C3DF7" w:rsidRPr="000C774C" w:rsidRDefault="001C3DF7" w:rsidP="001C3DF7"/>
    <w:p w:rsidR="004B24C8" w:rsidRDefault="001C3DF7">
      <w:pPr>
        <w:pStyle w:val="TableofFigures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fldChar w:fldCharType="begin"/>
      </w:r>
      <w:r>
        <w:instrText xml:space="preserve"> TOC \h \z \c "Graf" </w:instrText>
      </w:r>
      <w:r>
        <w:fldChar w:fldCharType="separate"/>
      </w:r>
      <w:hyperlink w:anchor="_Toc529971972" w:history="1">
        <w:r w:rsidR="004B24C8" w:rsidRPr="00BC6B15">
          <w:rPr>
            <w:rStyle w:val="Hyperlink"/>
            <w:noProof/>
          </w:rPr>
          <w:t>Graf 1 Poměr veřejných zakázek evidovaných v ISVZ vůči celému trhu VZ</w:t>
        </w:r>
        <w:r w:rsidR="004B24C8">
          <w:rPr>
            <w:noProof/>
            <w:webHidden/>
          </w:rPr>
          <w:tab/>
        </w:r>
        <w:r w:rsidR="004B24C8">
          <w:rPr>
            <w:noProof/>
            <w:webHidden/>
          </w:rPr>
          <w:fldChar w:fldCharType="begin"/>
        </w:r>
        <w:r w:rsidR="004B24C8">
          <w:rPr>
            <w:noProof/>
            <w:webHidden/>
          </w:rPr>
          <w:instrText xml:space="preserve"> PAGEREF _Toc529971972 \h </w:instrText>
        </w:r>
        <w:r w:rsidR="004B24C8">
          <w:rPr>
            <w:noProof/>
            <w:webHidden/>
          </w:rPr>
        </w:r>
        <w:r w:rsidR="004B24C8">
          <w:rPr>
            <w:noProof/>
            <w:webHidden/>
          </w:rPr>
          <w:fldChar w:fldCharType="separate"/>
        </w:r>
        <w:r w:rsidR="004B24C8">
          <w:rPr>
            <w:noProof/>
            <w:webHidden/>
          </w:rPr>
          <w:t>9</w:t>
        </w:r>
        <w:r w:rsidR="004B24C8">
          <w:rPr>
            <w:noProof/>
            <w:webHidden/>
          </w:rPr>
          <w:fldChar w:fldCharType="end"/>
        </w:r>
      </w:hyperlink>
    </w:p>
    <w:p w:rsidR="004B24C8" w:rsidRDefault="00A9049A">
      <w:pPr>
        <w:pStyle w:val="TableofFigures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29971973" w:history="1">
        <w:r w:rsidR="004B24C8" w:rsidRPr="00BC6B15">
          <w:rPr>
            <w:rStyle w:val="Hyperlink"/>
            <w:noProof/>
          </w:rPr>
          <w:t>Graf 2 Vývoj využívání certifikovaných elektronických nástrojů - profil zadavatele</w:t>
        </w:r>
        <w:r w:rsidR="004B24C8">
          <w:rPr>
            <w:noProof/>
            <w:webHidden/>
          </w:rPr>
          <w:tab/>
        </w:r>
        <w:r w:rsidR="004B24C8">
          <w:rPr>
            <w:noProof/>
            <w:webHidden/>
          </w:rPr>
          <w:fldChar w:fldCharType="begin"/>
        </w:r>
        <w:r w:rsidR="004B24C8">
          <w:rPr>
            <w:noProof/>
            <w:webHidden/>
          </w:rPr>
          <w:instrText xml:space="preserve"> PAGEREF _Toc529971973 \h </w:instrText>
        </w:r>
        <w:r w:rsidR="004B24C8">
          <w:rPr>
            <w:noProof/>
            <w:webHidden/>
          </w:rPr>
        </w:r>
        <w:r w:rsidR="004B24C8">
          <w:rPr>
            <w:noProof/>
            <w:webHidden/>
          </w:rPr>
          <w:fldChar w:fldCharType="separate"/>
        </w:r>
        <w:r w:rsidR="004B24C8">
          <w:rPr>
            <w:noProof/>
            <w:webHidden/>
          </w:rPr>
          <w:t>10</w:t>
        </w:r>
        <w:r w:rsidR="004B24C8">
          <w:rPr>
            <w:noProof/>
            <w:webHidden/>
          </w:rPr>
          <w:fldChar w:fldCharType="end"/>
        </w:r>
      </w:hyperlink>
    </w:p>
    <w:p w:rsidR="001C3DF7" w:rsidRDefault="001C3DF7" w:rsidP="001C3DF7">
      <w:r>
        <w:fldChar w:fldCharType="end"/>
      </w:r>
    </w:p>
    <w:p w:rsidR="004B24C8" w:rsidRDefault="001C3DF7">
      <w:pPr>
        <w:pStyle w:val="TableofFigures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fldChar w:fldCharType="begin"/>
      </w:r>
      <w:r>
        <w:instrText xml:space="preserve"> TOC \h \z \c "Schéma" </w:instrText>
      </w:r>
      <w:r>
        <w:fldChar w:fldCharType="separate"/>
      </w:r>
      <w:hyperlink w:anchor="_Toc529971976" w:history="1">
        <w:r w:rsidR="004B24C8" w:rsidRPr="00491AF4">
          <w:rPr>
            <w:rStyle w:val="Hyperlink"/>
            <w:noProof/>
          </w:rPr>
          <w:t>Schéma 1 NIPEZ 2.0</w:t>
        </w:r>
        <w:r w:rsidR="004B24C8">
          <w:rPr>
            <w:noProof/>
            <w:webHidden/>
          </w:rPr>
          <w:tab/>
        </w:r>
        <w:r w:rsidR="004B24C8">
          <w:rPr>
            <w:noProof/>
            <w:webHidden/>
          </w:rPr>
          <w:fldChar w:fldCharType="begin"/>
        </w:r>
        <w:r w:rsidR="004B24C8">
          <w:rPr>
            <w:noProof/>
            <w:webHidden/>
          </w:rPr>
          <w:instrText xml:space="preserve"> PAGEREF _Toc529971976 \h </w:instrText>
        </w:r>
        <w:r w:rsidR="004B24C8">
          <w:rPr>
            <w:noProof/>
            <w:webHidden/>
          </w:rPr>
        </w:r>
        <w:r w:rsidR="004B24C8">
          <w:rPr>
            <w:noProof/>
            <w:webHidden/>
          </w:rPr>
          <w:fldChar w:fldCharType="separate"/>
        </w:r>
        <w:r w:rsidR="004B24C8">
          <w:rPr>
            <w:noProof/>
            <w:webHidden/>
          </w:rPr>
          <w:t>3</w:t>
        </w:r>
        <w:r w:rsidR="004B24C8">
          <w:rPr>
            <w:noProof/>
            <w:webHidden/>
          </w:rPr>
          <w:fldChar w:fldCharType="end"/>
        </w:r>
      </w:hyperlink>
    </w:p>
    <w:p w:rsidR="004B24C8" w:rsidRDefault="00A9049A">
      <w:pPr>
        <w:pStyle w:val="TableofFigures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29971977" w:history="1">
        <w:r w:rsidR="004B24C8" w:rsidRPr="00491AF4">
          <w:rPr>
            <w:rStyle w:val="Hyperlink"/>
            <w:noProof/>
          </w:rPr>
          <w:t>Schéma 2 Proces zadávání veřejné zakázky a pozice NIPEZ</w:t>
        </w:r>
        <w:r w:rsidR="004B24C8">
          <w:rPr>
            <w:noProof/>
            <w:webHidden/>
          </w:rPr>
          <w:tab/>
        </w:r>
        <w:r w:rsidR="004B24C8">
          <w:rPr>
            <w:noProof/>
            <w:webHidden/>
          </w:rPr>
          <w:fldChar w:fldCharType="begin"/>
        </w:r>
        <w:r w:rsidR="004B24C8">
          <w:rPr>
            <w:noProof/>
            <w:webHidden/>
          </w:rPr>
          <w:instrText xml:space="preserve"> PAGEREF _Toc529971977 \h </w:instrText>
        </w:r>
        <w:r w:rsidR="004B24C8">
          <w:rPr>
            <w:noProof/>
            <w:webHidden/>
          </w:rPr>
        </w:r>
        <w:r w:rsidR="004B24C8">
          <w:rPr>
            <w:noProof/>
            <w:webHidden/>
          </w:rPr>
          <w:fldChar w:fldCharType="separate"/>
        </w:r>
        <w:r w:rsidR="004B24C8">
          <w:rPr>
            <w:noProof/>
            <w:webHidden/>
          </w:rPr>
          <w:t>13</w:t>
        </w:r>
        <w:r w:rsidR="004B24C8">
          <w:rPr>
            <w:noProof/>
            <w:webHidden/>
          </w:rPr>
          <w:fldChar w:fldCharType="end"/>
        </w:r>
      </w:hyperlink>
    </w:p>
    <w:p w:rsidR="004B24C8" w:rsidRDefault="00A9049A">
      <w:pPr>
        <w:pStyle w:val="TableofFigures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529971978" w:history="1">
        <w:r w:rsidR="004B24C8" w:rsidRPr="00491AF4">
          <w:rPr>
            <w:rStyle w:val="Hyperlink"/>
            <w:noProof/>
          </w:rPr>
          <w:t>Schéma 3 NIPEZ 2.0</w:t>
        </w:r>
        <w:r w:rsidR="004B24C8">
          <w:rPr>
            <w:noProof/>
            <w:webHidden/>
          </w:rPr>
          <w:tab/>
        </w:r>
        <w:r w:rsidR="004B24C8">
          <w:rPr>
            <w:noProof/>
            <w:webHidden/>
          </w:rPr>
          <w:fldChar w:fldCharType="begin"/>
        </w:r>
        <w:r w:rsidR="004B24C8">
          <w:rPr>
            <w:noProof/>
            <w:webHidden/>
          </w:rPr>
          <w:instrText xml:space="preserve"> PAGEREF _Toc529971978 \h </w:instrText>
        </w:r>
        <w:r w:rsidR="004B24C8">
          <w:rPr>
            <w:noProof/>
            <w:webHidden/>
          </w:rPr>
        </w:r>
        <w:r w:rsidR="004B24C8">
          <w:rPr>
            <w:noProof/>
            <w:webHidden/>
          </w:rPr>
          <w:fldChar w:fldCharType="separate"/>
        </w:r>
        <w:r w:rsidR="004B24C8">
          <w:rPr>
            <w:noProof/>
            <w:webHidden/>
          </w:rPr>
          <w:t>19</w:t>
        </w:r>
        <w:r w:rsidR="004B24C8">
          <w:rPr>
            <w:noProof/>
            <w:webHidden/>
          </w:rPr>
          <w:fldChar w:fldCharType="end"/>
        </w:r>
      </w:hyperlink>
    </w:p>
    <w:p w:rsidR="001C3DF7" w:rsidRDefault="001C3DF7" w:rsidP="001C3DF7">
      <w:r>
        <w:fldChar w:fldCharType="end"/>
      </w:r>
    </w:p>
    <w:p w:rsidR="001C3DF7" w:rsidRDefault="001C3DF7" w:rsidP="001C3DF7">
      <w:pPr>
        <w:jc w:val="both"/>
      </w:pPr>
    </w:p>
    <w:sectPr w:rsidR="001C3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49A" w:rsidRDefault="00A9049A" w:rsidP="009B5539">
      <w:pPr>
        <w:spacing w:after="0" w:line="240" w:lineRule="auto"/>
      </w:pPr>
      <w:r>
        <w:separator/>
      </w:r>
    </w:p>
  </w:endnote>
  <w:endnote w:type="continuationSeparator" w:id="0">
    <w:p w:rsidR="00A9049A" w:rsidRDefault="00A9049A" w:rsidP="009B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Futura Bk">
    <w:altName w:val="Times New Roman"/>
    <w:panose1 w:val="020B0602020204020303"/>
    <w:charset w:val="00"/>
    <w:family w:val="swiss"/>
    <w:pitch w:val="variable"/>
    <w:sig w:usb0="A0007AE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6007842"/>
      <w:docPartObj>
        <w:docPartGallery w:val="Page Numbers (Bottom of Page)"/>
        <w:docPartUnique/>
      </w:docPartObj>
    </w:sdtPr>
    <w:sdtEndPr/>
    <w:sdtContent>
      <w:p w:rsidR="007838BE" w:rsidRDefault="007838B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BE4">
          <w:rPr>
            <w:noProof/>
          </w:rPr>
          <w:t>22</w:t>
        </w:r>
        <w:r>
          <w:fldChar w:fldCharType="end"/>
        </w:r>
      </w:p>
    </w:sdtContent>
  </w:sdt>
  <w:p w:rsidR="007838BE" w:rsidRDefault="00783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49A" w:rsidRDefault="00A9049A" w:rsidP="009B5539">
      <w:pPr>
        <w:spacing w:after="0" w:line="240" w:lineRule="auto"/>
      </w:pPr>
      <w:r>
        <w:separator/>
      </w:r>
    </w:p>
  </w:footnote>
  <w:footnote w:type="continuationSeparator" w:id="0">
    <w:p w:rsidR="00A9049A" w:rsidRDefault="00A9049A" w:rsidP="009B5539">
      <w:pPr>
        <w:spacing w:after="0" w:line="240" w:lineRule="auto"/>
      </w:pPr>
      <w:r>
        <w:continuationSeparator/>
      </w:r>
    </w:p>
  </w:footnote>
  <w:footnote w:id="1">
    <w:p w:rsidR="007838BE" w:rsidRDefault="007838BE" w:rsidP="000F2B5A">
      <w:pPr>
        <w:pStyle w:val="FootnoteText"/>
      </w:pPr>
      <w:r>
        <w:rPr>
          <w:rStyle w:val="FootnoteReference"/>
        </w:rPr>
        <w:footnoteRef/>
      </w:r>
      <w:r>
        <w:t xml:space="preserve"> Nové opatření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314" w:type="dxa"/>
      <w:tblInd w:w="5008" w:type="dxa"/>
      <w:tblLook w:val="0000" w:firstRow="0" w:lastRow="0" w:firstColumn="0" w:lastColumn="0" w:noHBand="0" w:noVBand="0"/>
    </w:tblPr>
    <w:tblGrid>
      <w:gridCol w:w="487"/>
      <w:gridCol w:w="3827"/>
    </w:tblGrid>
    <w:tr w:rsidR="007838BE" w:rsidTr="004558A4">
      <w:trPr>
        <w:trHeight w:val="1081"/>
      </w:trPr>
      <w:tc>
        <w:tcPr>
          <w:tcW w:w="487" w:type="dxa"/>
        </w:tcPr>
        <w:p w:rsidR="007838BE" w:rsidRDefault="007838BE" w:rsidP="004558A4">
          <w:pPr>
            <w:pStyle w:val="Header"/>
            <w:jc w:val="center"/>
            <w:rPr>
              <w:sz w:val="16"/>
              <w:szCs w:val="16"/>
            </w:rPr>
          </w:pPr>
        </w:p>
      </w:tc>
      <w:tc>
        <w:tcPr>
          <w:tcW w:w="3827" w:type="dxa"/>
        </w:tcPr>
        <w:p w:rsidR="007838BE" w:rsidRPr="0012740D" w:rsidRDefault="007838BE" w:rsidP="004558A4">
          <w:pPr>
            <w:pStyle w:val="Header"/>
            <w:jc w:val="center"/>
            <w:rPr>
              <w:b/>
              <w:bCs/>
              <w:sz w:val="18"/>
              <w:szCs w:val="18"/>
            </w:rPr>
          </w:pPr>
        </w:p>
        <w:p w:rsidR="007838BE" w:rsidRPr="00D57542" w:rsidRDefault="007838BE" w:rsidP="004558A4">
          <w:pPr>
            <w:pStyle w:val="Header"/>
            <w:ind w:left="33"/>
            <w:rPr>
              <w:rFonts w:ascii="Century Gothic" w:hAnsi="Century Gothic"/>
              <w:bCs/>
            </w:rPr>
          </w:pPr>
        </w:p>
      </w:tc>
    </w:tr>
  </w:tbl>
  <w:p w:rsidR="007838BE" w:rsidRDefault="007838BE" w:rsidP="004558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E45"/>
    <w:multiLevelType w:val="hybridMultilevel"/>
    <w:tmpl w:val="47FE41A6"/>
    <w:lvl w:ilvl="0" w:tplc="A7DE7D46">
      <w:start w:val="2"/>
      <w:numFmt w:val="bullet"/>
      <w:lvlText w:val="-"/>
      <w:lvlJc w:val="left"/>
      <w:pPr>
        <w:ind w:left="143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B5F7826"/>
    <w:multiLevelType w:val="hybridMultilevel"/>
    <w:tmpl w:val="730AD7F8"/>
    <w:lvl w:ilvl="0" w:tplc="F7E81F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C2C52"/>
    <w:multiLevelType w:val="hybridMultilevel"/>
    <w:tmpl w:val="E4FC27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47511"/>
    <w:multiLevelType w:val="hybridMultilevel"/>
    <w:tmpl w:val="DF566D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C3C2A"/>
    <w:multiLevelType w:val="hybridMultilevel"/>
    <w:tmpl w:val="C6066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0613F"/>
    <w:multiLevelType w:val="hybridMultilevel"/>
    <w:tmpl w:val="FAEE496A"/>
    <w:lvl w:ilvl="0" w:tplc="A7DE7D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518DC"/>
    <w:multiLevelType w:val="multilevel"/>
    <w:tmpl w:val="7C6CA03A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C0473"/>
    <w:multiLevelType w:val="multilevel"/>
    <w:tmpl w:val="7C6CA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5119F8"/>
    <w:multiLevelType w:val="hybridMultilevel"/>
    <w:tmpl w:val="CFF6C4A6"/>
    <w:lvl w:ilvl="0" w:tplc="A7DE7D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31022"/>
    <w:multiLevelType w:val="hybridMultilevel"/>
    <w:tmpl w:val="7DCA2D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67228"/>
    <w:multiLevelType w:val="hybridMultilevel"/>
    <w:tmpl w:val="68FE7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46166"/>
    <w:multiLevelType w:val="hybridMultilevel"/>
    <w:tmpl w:val="C58059D6"/>
    <w:lvl w:ilvl="0" w:tplc="A7DE7D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E0E57"/>
    <w:multiLevelType w:val="hybridMultilevel"/>
    <w:tmpl w:val="68FE7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B3CBE"/>
    <w:multiLevelType w:val="hybridMultilevel"/>
    <w:tmpl w:val="1CC07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15980"/>
    <w:multiLevelType w:val="hybridMultilevel"/>
    <w:tmpl w:val="A6B60800"/>
    <w:lvl w:ilvl="0" w:tplc="A7DE7D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32372"/>
    <w:multiLevelType w:val="multilevel"/>
    <w:tmpl w:val="7C6CA03A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0D9519E"/>
    <w:multiLevelType w:val="hybridMultilevel"/>
    <w:tmpl w:val="293651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362F0"/>
    <w:multiLevelType w:val="hybridMultilevel"/>
    <w:tmpl w:val="BA524B14"/>
    <w:lvl w:ilvl="0" w:tplc="A7DE7D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60126"/>
    <w:multiLevelType w:val="hybridMultilevel"/>
    <w:tmpl w:val="FBE657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5762E"/>
    <w:multiLevelType w:val="hybridMultilevel"/>
    <w:tmpl w:val="7C704E48"/>
    <w:lvl w:ilvl="0" w:tplc="A7DE7D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60CB5"/>
    <w:multiLevelType w:val="hybridMultilevel"/>
    <w:tmpl w:val="6A827200"/>
    <w:lvl w:ilvl="0" w:tplc="A7DE7D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E2340"/>
    <w:multiLevelType w:val="hybridMultilevel"/>
    <w:tmpl w:val="10F4AA08"/>
    <w:lvl w:ilvl="0" w:tplc="A7DE7D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43CFA"/>
    <w:multiLevelType w:val="hybridMultilevel"/>
    <w:tmpl w:val="9E34D6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018AF"/>
    <w:multiLevelType w:val="hybridMultilevel"/>
    <w:tmpl w:val="C3867A2A"/>
    <w:lvl w:ilvl="0" w:tplc="A7DE7D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3"/>
  </w:num>
  <w:num w:numId="4">
    <w:abstractNumId w:val="12"/>
  </w:num>
  <w:num w:numId="5">
    <w:abstractNumId w:val="9"/>
  </w:num>
  <w:num w:numId="6">
    <w:abstractNumId w:val="17"/>
  </w:num>
  <w:num w:numId="7">
    <w:abstractNumId w:val="20"/>
  </w:num>
  <w:num w:numId="8">
    <w:abstractNumId w:val="16"/>
  </w:num>
  <w:num w:numId="9">
    <w:abstractNumId w:val="15"/>
  </w:num>
  <w:num w:numId="10">
    <w:abstractNumId w:val="5"/>
  </w:num>
  <w:num w:numId="11">
    <w:abstractNumId w:val="14"/>
  </w:num>
  <w:num w:numId="12">
    <w:abstractNumId w:val="8"/>
  </w:num>
  <w:num w:numId="13">
    <w:abstractNumId w:val="4"/>
  </w:num>
  <w:num w:numId="14">
    <w:abstractNumId w:val="1"/>
  </w:num>
  <w:num w:numId="15">
    <w:abstractNumId w:val="18"/>
  </w:num>
  <w:num w:numId="16">
    <w:abstractNumId w:val="7"/>
  </w:num>
  <w:num w:numId="17">
    <w:abstractNumId w:val="3"/>
  </w:num>
  <w:num w:numId="18">
    <w:abstractNumId w:val="6"/>
  </w:num>
  <w:num w:numId="19">
    <w:abstractNumId w:val="10"/>
  </w:num>
  <w:num w:numId="20">
    <w:abstractNumId w:val="0"/>
  </w:num>
  <w:num w:numId="21">
    <w:abstractNumId w:val="2"/>
  </w:num>
  <w:num w:numId="22">
    <w:abstractNumId w:val="22"/>
  </w:num>
  <w:num w:numId="23">
    <w:abstractNumId w:val="21"/>
  </w:num>
  <w:num w:numId="24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539"/>
    <w:rsid w:val="000411FC"/>
    <w:rsid w:val="0006766A"/>
    <w:rsid w:val="000702B9"/>
    <w:rsid w:val="00076B28"/>
    <w:rsid w:val="00097F0B"/>
    <w:rsid w:val="000B156A"/>
    <w:rsid w:val="000B1790"/>
    <w:rsid w:val="000C471F"/>
    <w:rsid w:val="000C774C"/>
    <w:rsid w:val="000D3A51"/>
    <w:rsid w:val="000D4ED9"/>
    <w:rsid w:val="000E1FD4"/>
    <w:rsid w:val="000F2B5A"/>
    <w:rsid w:val="00102E02"/>
    <w:rsid w:val="00105C47"/>
    <w:rsid w:val="00117CE7"/>
    <w:rsid w:val="00123B98"/>
    <w:rsid w:val="00160B4E"/>
    <w:rsid w:val="001631AC"/>
    <w:rsid w:val="001677D4"/>
    <w:rsid w:val="00174EDC"/>
    <w:rsid w:val="001763BB"/>
    <w:rsid w:val="001854DC"/>
    <w:rsid w:val="00197C5B"/>
    <w:rsid w:val="001B1B2E"/>
    <w:rsid w:val="001B213C"/>
    <w:rsid w:val="001C27B5"/>
    <w:rsid w:val="001C2FB1"/>
    <w:rsid w:val="001C3DF7"/>
    <w:rsid w:val="001D1A1F"/>
    <w:rsid w:val="001D77F4"/>
    <w:rsid w:val="001E1213"/>
    <w:rsid w:val="001E30E0"/>
    <w:rsid w:val="001F38C5"/>
    <w:rsid w:val="001F614D"/>
    <w:rsid w:val="002047B7"/>
    <w:rsid w:val="00207D24"/>
    <w:rsid w:val="00214E4F"/>
    <w:rsid w:val="0022660F"/>
    <w:rsid w:val="002355E0"/>
    <w:rsid w:val="0026295D"/>
    <w:rsid w:val="00266F55"/>
    <w:rsid w:val="002760C9"/>
    <w:rsid w:val="00283924"/>
    <w:rsid w:val="00286FE0"/>
    <w:rsid w:val="002C2662"/>
    <w:rsid w:val="002C735D"/>
    <w:rsid w:val="002C74A4"/>
    <w:rsid w:val="002D2EC2"/>
    <w:rsid w:val="003153B8"/>
    <w:rsid w:val="00330B14"/>
    <w:rsid w:val="0034068A"/>
    <w:rsid w:val="003429B9"/>
    <w:rsid w:val="00357854"/>
    <w:rsid w:val="0037715A"/>
    <w:rsid w:val="00384009"/>
    <w:rsid w:val="00393467"/>
    <w:rsid w:val="003C1545"/>
    <w:rsid w:val="003C3953"/>
    <w:rsid w:val="003D4CA8"/>
    <w:rsid w:val="003F005A"/>
    <w:rsid w:val="00414A42"/>
    <w:rsid w:val="0042558C"/>
    <w:rsid w:val="0043379C"/>
    <w:rsid w:val="0043552B"/>
    <w:rsid w:val="004558A4"/>
    <w:rsid w:val="00461112"/>
    <w:rsid w:val="00480DB4"/>
    <w:rsid w:val="0048244C"/>
    <w:rsid w:val="004908B5"/>
    <w:rsid w:val="004B24C8"/>
    <w:rsid w:val="004C5610"/>
    <w:rsid w:val="004D6233"/>
    <w:rsid w:val="004E43F9"/>
    <w:rsid w:val="004E5072"/>
    <w:rsid w:val="004E6D8A"/>
    <w:rsid w:val="004F6CA6"/>
    <w:rsid w:val="00502961"/>
    <w:rsid w:val="0050363D"/>
    <w:rsid w:val="00513794"/>
    <w:rsid w:val="005149D3"/>
    <w:rsid w:val="00514E58"/>
    <w:rsid w:val="00536E4A"/>
    <w:rsid w:val="00546D3D"/>
    <w:rsid w:val="00553A69"/>
    <w:rsid w:val="00561487"/>
    <w:rsid w:val="00566BE3"/>
    <w:rsid w:val="005A7673"/>
    <w:rsid w:val="005B0BDD"/>
    <w:rsid w:val="005B797F"/>
    <w:rsid w:val="005D4DEE"/>
    <w:rsid w:val="005D67A0"/>
    <w:rsid w:val="005E6F6E"/>
    <w:rsid w:val="005F7AE1"/>
    <w:rsid w:val="006048B5"/>
    <w:rsid w:val="0062104C"/>
    <w:rsid w:val="00633573"/>
    <w:rsid w:val="00635D94"/>
    <w:rsid w:val="00643B92"/>
    <w:rsid w:val="00665938"/>
    <w:rsid w:val="00695440"/>
    <w:rsid w:val="0069570F"/>
    <w:rsid w:val="006C45B9"/>
    <w:rsid w:val="0070518F"/>
    <w:rsid w:val="007129BD"/>
    <w:rsid w:val="007176F2"/>
    <w:rsid w:val="00720955"/>
    <w:rsid w:val="00737674"/>
    <w:rsid w:val="007500E6"/>
    <w:rsid w:val="00763512"/>
    <w:rsid w:val="007838BE"/>
    <w:rsid w:val="007A63C9"/>
    <w:rsid w:val="007B5F89"/>
    <w:rsid w:val="007D0B8E"/>
    <w:rsid w:val="008063ED"/>
    <w:rsid w:val="00807B83"/>
    <w:rsid w:val="00814446"/>
    <w:rsid w:val="00820AF5"/>
    <w:rsid w:val="00836010"/>
    <w:rsid w:val="00840321"/>
    <w:rsid w:val="00864517"/>
    <w:rsid w:val="00876B44"/>
    <w:rsid w:val="00886F3B"/>
    <w:rsid w:val="008A1158"/>
    <w:rsid w:val="008B244C"/>
    <w:rsid w:val="008C751F"/>
    <w:rsid w:val="008D6298"/>
    <w:rsid w:val="008D64AB"/>
    <w:rsid w:val="008F0AEF"/>
    <w:rsid w:val="00917CBC"/>
    <w:rsid w:val="00920A8B"/>
    <w:rsid w:val="00923981"/>
    <w:rsid w:val="00927C46"/>
    <w:rsid w:val="00927D80"/>
    <w:rsid w:val="00930941"/>
    <w:rsid w:val="00940EFF"/>
    <w:rsid w:val="009421D5"/>
    <w:rsid w:val="00961E4F"/>
    <w:rsid w:val="00993D4A"/>
    <w:rsid w:val="00996475"/>
    <w:rsid w:val="009B5539"/>
    <w:rsid w:val="009C16CB"/>
    <w:rsid w:val="009C1BE4"/>
    <w:rsid w:val="009C58C3"/>
    <w:rsid w:val="009D1BBE"/>
    <w:rsid w:val="009D7117"/>
    <w:rsid w:val="00A055C9"/>
    <w:rsid w:val="00A120C5"/>
    <w:rsid w:val="00A255B4"/>
    <w:rsid w:val="00A27ACD"/>
    <w:rsid w:val="00A374CF"/>
    <w:rsid w:val="00A40A77"/>
    <w:rsid w:val="00A60048"/>
    <w:rsid w:val="00A6418B"/>
    <w:rsid w:val="00A80DFD"/>
    <w:rsid w:val="00A81447"/>
    <w:rsid w:val="00A83834"/>
    <w:rsid w:val="00A8559E"/>
    <w:rsid w:val="00A9049A"/>
    <w:rsid w:val="00AA7A72"/>
    <w:rsid w:val="00AB013A"/>
    <w:rsid w:val="00AB145A"/>
    <w:rsid w:val="00AB44C3"/>
    <w:rsid w:val="00AB4605"/>
    <w:rsid w:val="00AD5E41"/>
    <w:rsid w:val="00AE5BA9"/>
    <w:rsid w:val="00AF6834"/>
    <w:rsid w:val="00B01A2D"/>
    <w:rsid w:val="00B03A74"/>
    <w:rsid w:val="00B04D38"/>
    <w:rsid w:val="00B26D0C"/>
    <w:rsid w:val="00B45654"/>
    <w:rsid w:val="00B73E2A"/>
    <w:rsid w:val="00B82630"/>
    <w:rsid w:val="00B9250E"/>
    <w:rsid w:val="00BA0010"/>
    <w:rsid w:val="00BC1245"/>
    <w:rsid w:val="00BC4585"/>
    <w:rsid w:val="00BC546B"/>
    <w:rsid w:val="00BD79F3"/>
    <w:rsid w:val="00BE5F4A"/>
    <w:rsid w:val="00BF7176"/>
    <w:rsid w:val="00C00483"/>
    <w:rsid w:val="00C039CC"/>
    <w:rsid w:val="00C0413E"/>
    <w:rsid w:val="00C04CE4"/>
    <w:rsid w:val="00C06695"/>
    <w:rsid w:val="00C30D4C"/>
    <w:rsid w:val="00C42E27"/>
    <w:rsid w:val="00C45950"/>
    <w:rsid w:val="00C50CCC"/>
    <w:rsid w:val="00C70E25"/>
    <w:rsid w:val="00C81ACA"/>
    <w:rsid w:val="00CA179C"/>
    <w:rsid w:val="00CD3243"/>
    <w:rsid w:val="00CD3498"/>
    <w:rsid w:val="00CE25B0"/>
    <w:rsid w:val="00D04592"/>
    <w:rsid w:val="00D169D4"/>
    <w:rsid w:val="00D169E5"/>
    <w:rsid w:val="00D25471"/>
    <w:rsid w:val="00D420D5"/>
    <w:rsid w:val="00D44860"/>
    <w:rsid w:val="00D60CD6"/>
    <w:rsid w:val="00D82939"/>
    <w:rsid w:val="00DA7B38"/>
    <w:rsid w:val="00DB0E70"/>
    <w:rsid w:val="00DB318B"/>
    <w:rsid w:val="00DB5E18"/>
    <w:rsid w:val="00DC5BB7"/>
    <w:rsid w:val="00DE1A2B"/>
    <w:rsid w:val="00DF0374"/>
    <w:rsid w:val="00E11E84"/>
    <w:rsid w:val="00E14540"/>
    <w:rsid w:val="00E360D4"/>
    <w:rsid w:val="00E404C5"/>
    <w:rsid w:val="00E7378B"/>
    <w:rsid w:val="00E80B85"/>
    <w:rsid w:val="00E96D15"/>
    <w:rsid w:val="00ED0C75"/>
    <w:rsid w:val="00EE0BA9"/>
    <w:rsid w:val="00EF5365"/>
    <w:rsid w:val="00EF5D2B"/>
    <w:rsid w:val="00F075FA"/>
    <w:rsid w:val="00F13BD1"/>
    <w:rsid w:val="00F21BCE"/>
    <w:rsid w:val="00F356C8"/>
    <w:rsid w:val="00F44F0A"/>
    <w:rsid w:val="00F50567"/>
    <w:rsid w:val="00F600C1"/>
    <w:rsid w:val="00F607BC"/>
    <w:rsid w:val="00F72E81"/>
    <w:rsid w:val="00F736E9"/>
    <w:rsid w:val="00F83165"/>
    <w:rsid w:val="00F952BB"/>
    <w:rsid w:val="00FA37D6"/>
    <w:rsid w:val="00FC380F"/>
    <w:rsid w:val="00FE3827"/>
    <w:rsid w:val="00F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2E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E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2E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6B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539"/>
  </w:style>
  <w:style w:type="paragraph" w:styleId="FootnoteText">
    <w:name w:val="footnote text"/>
    <w:basedOn w:val="Normal"/>
    <w:link w:val="FootnoteTextChar"/>
    <w:uiPriority w:val="99"/>
    <w:unhideWhenUsed/>
    <w:rsid w:val="009B55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5539"/>
    <w:rPr>
      <w:sz w:val="20"/>
      <w:szCs w:val="20"/>
    </w:rPr>
  </w:style>
  <w:style w:type="character" w:styleId="FootnoteReference">
    <w:name w:val="footnote reference"/>
    <w:uiPriority w:val="99"/>
    <w:rsid w:val="009B5539"/>
    <w:rPr>
      <w:rFonts w:ascii="Arial" w:hAnsi="Arial" w:cs="Times New Roman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E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827"/>
  </w:style>
  <w:style w:type="paragraph" w:styleId="Title">
    <w:name w:val="Title"/>
    <w:basedOn w:val="Normal"/>
    <w:next w:val="Normal"/>
    <w:link w:val="TitleChar"/>
    <w:uiPriority w:val="10"/>
    <w:qFormat/>
    <w:rsid w:val="00FE38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38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404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6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C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C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C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C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0BD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2E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2E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2E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rsid w:val="00643B92"/>
    <w:pPr>
      <w:spacing w:after="0" w:line="240" w:lineRule="auto"/>
    </w:pPr>
    <w:rPr>
      <w:rFonts w:eastAsiaTheme="minorEastAsia"/>
      <w:lang w:eastAsia="cs-CZ"/>
    </w:rPr>
  </w:style>
  <w:style w:type="character" w:customStyle="1" w:styleId="NoSpacingChar">
    <w:name w:val="No Spacing Char"/>
    <w:basedOn w:val="DefaultParagraphFont"/>
    <w:link w:val="NoSpacing"/>
    <w:uiPriority w:val="1"/>
    <w:rsid w:val="00643B92"/>
    <w:rPr>
      <w:rFonts w:eastAsiaTheme="minorEastAsia"/>
      <w:lang w:eastAsia="cs-CZ"/>
    </w:rPr>
  </w:style>
  <w:style w:type="paragraph" w:styleId="TOCHeading">
    <w:name w:val="TOC Heading"/>
    <w:basedOn w:val="Heading1"/>
    <w:next w:val="Normal"/>
    <w:uiPriority w:val="39"/>
    <w:unhideWhenUsed/>
    <w:qFormat/>
    <w:rsid w:val="00643B92"/>
    <w:pPr>
      <w:spacing w:line="259" w:lineRule="auto"/>
      <w:outlineLvl w:val="9"/>
    </w:pPr>
    <w:rPr>
      <w:lang w:eastAsia="cs-CZ"/>
    </w:rPr>
  </w:style>
  <w:style w:type="paragraph" w:styleId="TOC1">
    <w:name w:val="toc 1"/>
    <w:basedOn w:val="Normal"/>
    <w:next w:val="Normal"/>
    <w:autoRedefine/>
    <w:uiPriority w:val="39"/>
    <w:unhideWhenUsed/>
    <w:rsid w:val="0037715A"/>
    <w:pPr>
      <w:tabs>
        <w:tab w:val="right" w:leader="dot" w:pos="920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43B9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43B92"/>
    <w:pPr>
      <w:spacing w:after="100"/>
      <w:ind w:left="440"/>
    </w:pPr>
  </w:style>
  <w:style w:type="table" w:styleId="TableGrid">
    <w:name w:val="Table Grid"/>
    <w:basedOn w:val="TableNormal"/>
    <w:uiPriority w:val="59"/>
    <w:rsid w:val="001B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8263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27AC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Revision">
    <w:name w:val="Revision"/>
    <w:hidden/>
    <w:uiPriority w:val="99"/>
    <w:semiHidden/>
    <w:rsid w:val="00AE5BA9"/>
    <w:pPr>
      <w:spacing w:after="0" w:line="240" w:lineRule="auto"/>
    </w:pPr>
  </w:style>
  <w:style w:type="paragraph" w:styleId="TableofFigures">
    <w:name w:val="table of figures"/>
    <w:basedOn w:val="Normal"/>
    <w:next w:val="Normal"/>
    <w:uiPriority w:val="99"/>
    <w:unhideWhenUsed/>
    <w:rsid w:val="005F7AE1"/>
    <w:pP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876B4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C30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vestnikverejnychzakazek.cz/" TargetMode="External"/><Relationship Id="rId18" Type="http://schemas.openxmlformats.org/officeDocument/2006/relationships/diagramData" Target="diagrams/data1.xml"/><Relationship Id="rId26" Type="http://schemas.openxmlformats.org/officeDocument/2006/relationships/hyperlink" Target="http://www.isvz.cz/ISVZ/Podpora/ISVZ.aspx" TargetMode="Externa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https://www.isvz.cz/ISVZ/Podpora/ISVZ_open_data_vz.aspx" TargetMode="External"/><Relationship Id="rId25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diagramQuickStyle" Target="diagrams/quickStyle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://portal-vz.cz/cs/Uvodni-strana)" TargetMode="External"/><Relationship Id="rId23" Type="http://schemas.openxmlformats.org/officeDocument/2006/relationships/image" Target="media/image2.wmf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nen.nipez.cz/" TargetMode="External"/><Relationship Id="rId22" Type="http://schemas.microsoft.com/office/2007/relationships/diagramDrawing" Target="diagrams/drawing1.xml"/><Relationship Id="rId27" Type="http://schemas.openxmlformats.org/officeDocument/2006/relationships/hyperlink" Target="http://portal-vz.cz/cs/Jak-na-zadavani-verejnych-zakazek/Elektronicke-zadavani-verejnych-zakazek/Seznam-certifikovanych-el-nastroju-dle-zakona-c-134-2016-Sb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/C:\Users\bogsta\AppData\Local\Microsoft\Windows\INetCache\Content.Outlook\ETEF571B\Se&#353;it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Poměr</a:t>
            </a:r>
            <a:r>
              <a:rPr lang="cs-CZ" baseline="0"/>
              <a:t> VZ evidovaných v ISVZ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Evidováno v ISVZ</c:v>
          </c:tx>
          <c:spPr>
            <a:ln w="3175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List1!$A$3:$A$8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List1!$E$3:$E$9</c:f>
              <c:numCache>
                <c:formatCode>0.00%</c:formatCode>
                <c:ptCount val="7"/>
                <c:pt idx="0">
                  <c:v>0.65922920892494896</c:v>
                </c:pt>
                <c:pt idx="1">
                  <c:v>0.62761506276150603</c:v>
                </c:pt>
                <c:pt idx="2">
                  <c:v>0.77624784853700501</c:v>
                </c:pt>
                <c:pt idx="3">
                  <c:v>0.54373927958833601</c:v>
                </c:pt>
                <c:pt idx="4">
                  <c:v>0.66735537190082705</c:v>
                </c:pt>
                <c:pt idx="5">
                  <c:v>0.71377459749552796</c:v>
                </c:pt>
                <c:pt idx="6">
                  <c:v>0.66466022820135795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391-4EED-9D7F-EF961AAFA6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6274304"/>
        <c:axId val="116275840"/>
      </c:lineChart>
      <c:catAx>
        <c:axId val="116274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6275840"/>
        <c:crosses val="autoZero"/>
        <c:auto val="1"/>
        <c:lblAlgn val="ctr"/>
        <c:lblOffset val="100"/>
        <c:noMultiLvlLbl val="0"/>
      </c:catAx>
      <c:valAx>
        <c:axId val="116275840"/>
        <c:scaling>
          <c:orientation val="minMax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6274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Certifikované elektronické nástroje</a:t>
            </a:r>
            <a:r>
              <a:rPr lang="cs-CZ"/>
              <a:t> - profily zadavatele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Certifikované elektronické nástroje</c:v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[Sešit1.xlsx]List1!$H$33:$H$36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[Sešit1.xlsx]List1!$I$33:$I$36</c:f>
              <c:numCache>
                <c:formatCode>0.00%</c:formatCode>
                <c:ptCount val="4"/>
                <c:pt idx="0">
                  <c:v>0.60903243654471295</c:v>
                </c:pt>
                <c:pt idx="1">
                  <c:v>0.55231610800744901</c:v>
                </c:pt>
                <c:pt idx="2">
                  <c:v>0.58314690529455604</c:v>
                </c:pt>
                <c:pt idx="3">
                  <c:v>0.67003767598651598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C5F-45F4-B89E-39D3A6CF9B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6284032"/>
        <c:axId val="116298112"/>
      </c:lineChart>
      <c:catAx>
        <c:axId val="116284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6298112"/>
        <c:crosses val="autoZero"/>
        <c:auto val="1"/>
        <c:lblAlgn val="ctr"/>
        <c:lblOffset val="100"/>
        <c:noMultiLvlLbl val="0"/>
      </c:catAx>
      <c:valAx>
        <c:axId val="116298112"/>
        <c:scaling>
          <c:orientation val="minMax"/>
          <c:max val="0.7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6284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004031-AFBC-454E-AD6F-3F8F8114A768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1E830E55-B7DE-49C1-AFCF-56FE389A1D48}">
      <dgm:prSet phldrT="[Text]" custT="1"/>
      <dgm:spPr>
        <a:solidFill>
          <a:srgbClr val="FF0000"/>
        </a:solidFill>
      </dgm:spPr>
      <dgm:t>
        <a:bodyPr/>
        <a:lstStyle/>
        <a:p>
          <a:r>
            <a:rPr lang="cs-CZ" sz="1200" b="1"/>
            <a:t>Plánování veřejné zakázky</a:t>
          </a:r>
        </a:p>
      </dgm:t>
    </dgm:pt>
    <dgm:pt modelId="{5576734F-DE5C-4993-8057-46753C2EB327}" type="parTrans" cxnId="{B5212003-B264-4550-A6EB-6631E79F3138}">
      <dgm:prSet/>
      <dgm:spPr/>
      <dgm:t>
        <a:bodyPr/>
        <a:lstStyle/>
        <a:p>
          <a:endParaRPr lang="cs-CZ"/>
        </a:p>
      </dgm:t>
    </dgm:pt>
    <dgm:pt modelId="{6FE34639-C7CF-4CC3-B607-A97CB9D8C3FD}" type="sibTrans" cxnId="{B5212003-B264-4550-A6EB-6631E79F3138}">
      <dgm:prSet/>
      <dgm:spPr/>
      <dgm:t>
        <a:bodyPr/>
        <a:lstStyle/>
        <a:p>
          <a:endParaRPr lang="cs-CZ"/>
        </a:p>
      </dgm:t>
    </dgm:pt>
    <dgm:pt modelId="{0165E8F7-3F99-4287-9304-36D296C01434}">
      <dgm:prSet phldrT="[Text]"/>
      <dgm:spPr/>
      <dgm:t>
        <a:bodyPr/>
        <a:lstStyle/>
        <a:p>
          <a:r>
            <a:rPr lang="cs-CZ" sz="900"/>
            <a:t>Identifikace potřeb zadavatele</a:t>
          </a:r>
        </a:p>
      </dgm:t>
    </dgm:pt>
    <dgm:pt modelId="{A4EB3B3F-DE45-4135-9E73-D5D6EAE640EB}" type="parTrans" cxnId="{7922EFDC-C84A-4E37-A021-9753CFC277CA}">
      <dgm:prSet/>
      <dgm:spPr/>
      <dgm:t>
        <a:bodyPr/>
        <a:lstStyle/>
        <a:p>
          <a:endParaRPr lang="cs-CZ"/>
        </a:p>
      </dgm:t>
    </dgm:pt>
    <dgm:pt modelId="{4CD7B225-234C-4862-A946-789F1F240E9A}" type="sibTrans" cxnId="{7922EFDC-C84A-4E37-A021-9753CFC277CA}">
      <dgm:prSet/>
      <dgm:spPr/>
      <dgm:t>
        <a:bodyPr/>
        <a:lstStyle/>
        <a:p>
          <a:endParaRPr lang="cs-CZ"/>
        </a:p>
      </dgm:t>
    </dgm:pt>
    <dgm:pt modelId="{B5626C3D-470A-43E6-B565-EAFA68A627A6}">
      <dgm:prSet phldrT="[Text]" custT="1"/>
      <dgm:spPr>
        <a:solidFill>
          <a:schemeClr val="accent3"/>
        </a:solidFill>
      </dgm:spPr>
      <dgm:t>
        <a:bodyPr/>
        <a:lstStyle/>
        <a:p>
          <a:r>
            <a:rPr lang="cs-CZ" sz="1200"/>
            <a:t>Specifikace zadávacích podmínek</a:t>
          </a:r>
        </a:p>
      </dgm:t>
    </dgm:pt>
    <dgm:pt modelId="{920E8F39-2805-440C-885E-9C58C6DF295F}" type="parTrans" cxnId="{9E149830-155E-4C4E-B297-E78C6F231D3C}">
      <dgm:prSet/>
      <dgm:spPr/>
      <dgm:t>
        <a:bodyPr/>
        <a:lstStyle/>
        <a:p>
          <a:endParaRPr lang="cs-CZ"/>
        </a:p>
      </dgm:t>
    </dgm:pt>
    <dgm:pt modelId="{68962D39-9229-4EF7-B92C-9086FAAAA8D1}" type="sibTrans" cxnId="{9E149830-155E-4C4E-B297-E78C6F231D3C}">
      <dgm:prSet/>
      <dgm:spPr/>
      <dgm:t>
        <a:bodyPr/>
        <a:lstStyle/>
        <a:p>
          <a:endParaRPr lang="cs-CZ"/>
        </a:p>
      </dgm:t>
    </dgm:pt>
    <dgm:pt modelId="{18687926-09E9-427E-A06A-87630132E85F}">
      <dgm:prSet phldrT="[Text]"/>
      <dgm:spPr/>
      <dgm:t>
        <a:bodyPr/>
        <a:lstStyle/>
        <a:p>
          <a:r>
            <a:rPr lang="cs-CZ" sz="900"/>
            <a:t>Zpracování podkladů pro schválení veřejné zakázky</a:t>
          </a:r>
        </a:p>
      </dgm:t>
    </dgm:pt>
    <dgm:pt modelId="{829FDC0A-51FF-43DA-A7CC-C03DF9B1CDC9}" type="parTrans" cxnId="{4397E61E-2EB1-46B6-99C2-0DC310DA63C0}">
      <dgm:prSet/>
      <dgm:spPr/>
      <dgm:t>
        <a:bodyPr/>
        <a:lstStyle/>
        <a:p>
          <a:endParaRPr lang="cs-CZ"/>
        </a:p>
      </dgm:t>
    </dgm:pt>
    <dgm:pt modelId="{A153E0D9-9677-49CD-B2D6-D82828199D34}" type="sibTrans" cxnId="{4397E61E-2EB1-46B6-99C2-0DC310DA63C0}">
      <dgm:prSet/>
      <dgm:spPr/>
      <dgm:t>
        <a:bodyPr/>
        <a:lstStyle/>
        <a:p>
          <a:endParaRPr lang="cs-CZ"/>
        </a:p>
      </dgm:t>
    </dgm:pt>
    <dgm:pt modelId="{8ED313AB-D3A5-43FD-8457-1689CC7E50B5}">
      <dgm:prSet phldrT="[Text]" custT="1"/>
      <dgm:spPr>
        <a:solidFill>
          <a:schemeClr val="accent3"/>
        </a:solidFill>
      </dgm:spPr>
      <dgm:t>
        <a:bodyPr/>
        <a:lstStyle/>
        <a:p>
          <a:r>
            <a:rPr lang="cs-CZ" sz="1200"/>
            <a:t>Realizace zadávacího řízení</a:t>
          </a:r>
        </a:p>
      </dgm:t>
    </dgm:pt>
    <dgm:pt modelId="{F9419DC6-4145-42D7-A0EE-F85539153EE3}" type="parTrans" cxnId="{4AA7C9AD-A320-4ADE-843E-36F4B3170CF5}">
      <dgm:prSet/>
      <dgm:spPr/>
      <dgm:t>
        <a:bodyPr/>
        <a:lstStyle/>
        <a:p>
          <a:endParaRPr lang="cs-CZ"/>
        </a:p>
      </dgm:t>
    </dgm:pt>
    <dgm:pt modelId="{8D961B12-E089-4471-96F7-73E90FBEBB1A}" type="sibTrans" cxnId="{4AA7C9AD-A320-4ADE-843E-36F4B3170CF5}">
      <dgm:prSet/>
      <dgm:spPr/>
      <dgm:t>
        <a:bodyPr/>
        <a:lstStyle/>
        <a:p>
          <a:endParaRPr lang="cs-CZ"/>
        </a:p>
      </dgm:t>
    </dgm:pt>
    <dgm:pt modelId="{625CDA99-0024-4525-9BBA-28E513134B1D}">
      <dgm:prSet phldrT="[Text]"/>
      <dgm:spPr/>
      <dgm:t>
        <a:bodyPr/>
        <a:lstStyle/>
        <a:p>
          <a:r>
            <a:rPr lang="cs-CZ" sz="900"/>
            <a:t>Procesy dle zákona č. 134/2016 Sb. o zadávání veřejných zakázek</a:t>
          </a:r>
        </a:p>
      </dgm:t>
    </dgm:pt>
    <dgm:pt modelId="{CB975979-0656-4864-B140-061DD52F0233}" type="parTrans" cxnId="{8F8E019E-F997-474D-A727-93BA760DC086}">
      <dgm:prSet/>
      <dgm:spPr/>
      <dgm:t>
        <a:bodyPr/>
        <a:lstStyle/>
        <a:p>
          <a:endParaRPr lang="cs-CZ"/>
        </a:p>
      </dgm:t>
    </dgm:pt>
    <dgm:pt modelId="{9C827818-9CC2-433D-B9CD-677D4E30B2DA}" type="sibTrans" cxnId="{8F8E019E-F997-474D-A727-93BA760DC086}">
      <dgm:prSet/>
      <dgm:spPr/>
      <dgm:t>
        <a:bodyPr/>
        <a:lstStyle/>
        <a:p>
          <a:endParaRPr lang="cs-CZ"/>
        </a:p>
      </dgm:t>
    </dgm:pt>
    <dgm:pt modelId="{25588E1F-330C-49FF-9CA5-1DE253853AF7}">
      <dgm:prSet phldrT="[Text]"/>
      <dgm:spPr/>
      <dgm:t>
        <a:bodyPr/>
        <a:lstStyle/>
        <a:p>
          <a:r>
            <a:rPr lang="cs-CZ" sz="900"/>
            <a:t>Zajištění finančního krytí</a:t>
          </a:r>
        </a:p>
      </dgm:t>
    </dgm:pt>
    <dgm:pt modelId="{6EA22F4D-BC57-4A31-B758-9640DD1EFF30}" type="parTrans" cxnId="{4ADF0CB0-F827-4562-9991-C30D16EE9C85}">
      <dgm:prSet/>
      <dgm:spPr/>
      <dgm:t>
        <a:bodyPr/>
        <a:lstStyle/>
        <a:p>
          <a:endParaRPr lang="cs-CZ"/>
        </a:p>
      </dgm:t>
    </dgm:pt>
    <dgm:pt modelId="{905D64B6-1186-4953-A088-4B9BEECCDF64}" type="sibTrans" cxnId="{4ADF0CB0-F827-4562-9991-C30D16EE9C85}">
      <dgm:prSet/>
      <dgm:spPr/>
      <dgm:t>
        <a:bodyPr/>
        <a:lstStyle/>
        <a:p>
          <a:endParaRPr lang="cs-CZ"/>
        </a:p>
      </dgm:t>
    </dgm:pt>
    <dgm:pt modelId="{3C1D1878-DAB7-44F3-995D-4826A3FD807B}">
      <dgm:prSet phldrT="[Text]"/>
      <dgm:spPr/>
      <dgm:t>
        <a:bodyPr/>
        <a:lstStyle/>
        <a:p>
          <a:endParaRPr lang="cs-CZ" sz="900"/>
        </a:p>
      </dgm:t>
    </dgm:pt>
    <dgm:pt modelId="{89A74C45-A6A7-4A02-9787-978FE9A3F142}" type="parTrans" cxnId="{6652B627-7C11-432E-9E36-ACC1AC31C635}">
      <dgm:prSet/>
      <dgm:spPr/>
      <dgm:t>
        <a:bodyPr/>
        <a:lstStyle/>
        <a:p>
          <a:endParaRPr lang="cs-CZ"/>
        </a:p>
      </dgm:t>
    </dgm:pt>
    <dgm:pt modelId="{E61035FB-2081-4AD6-92CC-E62E1ABEF5CC}" type="sibTrans" cxnId="{6652B627-7C11-432E-9E36-ACC1AC31C635}">
      <dgm:prSet/>
      <dgm:spPr/>
      <dgm:t>
        <a:bodyPr/>
        <a:lstStyle/>
        <a:p>
          <a:endParaRPr lang="cs-CZ"/>
        </a:p>
      </dgm:t>
    </dgm:pt>
    <dgm:pt modelId="{FA7D1E81-FCB2-4709-ADDF-A50DCDB85C69}">
      <dgm:prSet custT="1"/>
      <dgm:spPr>
        <a:solidFill>
          <a:srgbClr val="FF0000"/>
        </a:solidFill>
      </dgm:spPr>
      <dgm:t>
        <a:bodyPr/>
        <a:lstStyle/>
        <a:p>
          <a:r>
            <a:rPr lang="cs-CZ" sz="1200"/>
            <a:t>Realizace předmětu VZ</a:t>
          </a:r>
        </a:p>
      </dgm:t>
    </dgm:pt>
    <dgm:pt modelId="{D809F0CE-9643-44BC-B94B-045F72004905}" type="parTrans" cxnId="{173DD036-7290-4B12-8D03-D5EA9967DD46}">
      <dgm:prSet/>
      <dgm:spPr/>
      <dgm:t>
        <a:bodyPr/>
        <a:lstStyle/>
        <a:p>
          <a:endParaRPr lang="cs-CZ"/>
        </a:p>
      </dgm:t>
    </dgm:pt>
    <dgm:pt modelId="{303475DC-50E6-405E-81C9-ED71F8B1F11B}" type="sibTrans" cxnId="{173DD036-7290-4B12-8D03-D5EA9967DD46}">
      <dgm:prSet/>
      <dgm:spPr/>
      <dgm:t>
        <a:bodyPr/>
        <a:lstStyle/>
        <a:p>
          <a:endParaRPr lang="cs-CZ"/>
        </a:p>
      </dgm:t>
    </dgm:pt>
    <dgm:pt modelId="{80B22BC2-7566-4FBE-AF9B-37720595CB48}">
      <dgm:prSet custT="1"/>
      <dgm:spPr/>
      <dgm:t>
        <a:bodyPr/>
        <a:lstStyle/>
        <a:p>
          <a:r>
            <a:rPr lang="cs-CZ" sz="900"/>
            <a:t>Kontrola plnění</a:t>
          </a:r>
        </a:p>
      </dgm:t>
    </dgm:pt>
    <dgm:pt modelId="{F494682D-95ED-40E0-8662-5AB349533501}" type="parTrans" cxnId="{33357287-7DD6-4FA5-93EC-CDD658CDD829}">
      <dgm:prSet/>
      <dgm:spPr/>
      <dgm:t>
        <a:bodyPr/>
        <a:lstStyle/>
        <a:p>
          <a:endParaRPr lang="cs-CZ"/>
        </a:p>
      </dgm:t>
    </dgm:pt>
    <dgm:pt modelId="{770F80C3-A482-4131-91A7-ACF52BE0DBE3}" type="sibTrans" cxnId="{33357287-7DD6-4FA5-93EC-CDD658CDD829}">
      <dgm:prSet/>
      <dgm:spPr/>
      <dgm:t>
        <a:bodyPr/>
        <a:lstStyle/>
        <a:p>
          <a:endParaRPr lang="cs-CZ"/>
        </a:p>
      </dgm:t>
    </dgm:pt>
    <dgm:pt modelId="{562E5053-D5B4-4C34-B01D-DDA357D241FA}">
      <dgm:prSet phldrT="[Text]"/>
      <dgm:spPr/>
      <dgm:t>
        <a:bodyPr/>
        <a:lstStyle/>
        <a:p>
          <a:r>
            <a:rPr lang="cs-CZ" sz="900"/>
            <a:t>Zahájení veřejné zakázky</a:t>
          </a:r>
        </a:p>
      </dgm:t>
    </dgm:pt>
    <dgm:pt modelId="{FC019212-47C3-4AB1-8353-B0424785068A}" type="parTrans" cxnId="{6AD341EF-B292-4CCB-B780-2A1CCEFB2EE6}">
      <dgm:prSet/>
      <dgm:spPr/>
      <dgm:t>
        <a:bodyPr/>
        <a:lstStyle/>
        <a:p>
          <a:endParaRPr lang="cs-CZ"/>
        </a:p>
      </dgm:t>
    </dgm:pt>
    <dgm:pt modelId="{158415FF-F143-4A1B-BDBC-04D4693E6DFA}" type="sibTrans" cxnId="{6AD341EF-B292-4CCB-B780-2A1CCEFB2EE6}">
      <dgm:prSet/>
      <dgm:spPr/>
      <dgm:t>
        <a:bodyPr/>
        <a:lstStyle/>
        <a:p>
          <a:endParaRPr lang="cs-CZ"/>
        </a:p>
      </dgm:t>
    </dgm:pt>
    <dgm:pt modelId="{B3A34648-FAED-4106-8C92-735F31EB2D67}">
      <dgm:prSet phldrT="[Text]"/>
      <dgm:spPr/>
      <dgm:t>
        <a:bodyPr/>
        <a:lstStyle/>
        <a:p>
          <a:r>
            <a:rPr lang="cs-CZ" sz="900"/>
            <a:t>Zadávání a kontrola zadání zakázky dle zákona č. 134/2016sb. o zadávání veřejných zakázek</a:t>
          </a:r>
        </a:p>
      </dgm:t>
    </dgm:pt>
    <dgm:pt modelId="{7FBF761F-AAE8-4E83-81A5-C699B6FD2A3F}" type="parTrans" cxnId="{F7E1418D-EE57-45C5-B4A1-BA4C237922C4}">
      <dgm:prSet/>
      <dgm:spPr/>
      <dgm:t>
        <a:bodyPr/>
        <a:lstStyle/>
        <a:p>
          <a:endParaRPr lang="cs-CZ"/>
        </a:p>
      </dgm:t>
    </dgm:pt>
    <dgm:pt modelId="{7CBA33BD-ED1A-4DBF-AC55-F31F9F611C65}" type="sibTrans" cxnId="{F7E1418D-EE57-45C5-B4A1-BA4C237922C4}">
      <dgm:prSet/>
      <dgm:spPr/>
      <dgm:t>
        <a:bodyPr/>
        <a:lstStyle/>
        <a:p>
          <a:endParaRPr lang="cs-CZ"/>
        </a:p>
      </dgm:t>
    </dgm:pt>
    <dgm:pt modelId="{F26D77C0-E54D-42B6-AFAF-702D81868D7B}">
      <dgm:prSet custT="1"/>
      <dgm:spPr/>
      <dgm:t>
        <a:bodyPr/>
        <a:lstStyle/>
        <a:p>
          <a:r>
            <a:rPr lang="cs-CZ" sz="900"/>
            <a:t>Fakturace</a:t>
          </a:r>
        </a:p>
      </dgm:t>
    </dgm:pt>
    <dgm:pt modelId="{F464DF90-BB59-4374-91B3-06C7CE67F7D2}" type="parTrans" cxnId="{02384BD1-2A3F-44E5-9FF3-97ACB861EE39}">
      <dgm:prSet/>
      <dgm:spPr/>
      <dgm:t>
        <a:bodyPr/>
        <a:lstStyle/>
        <a:p>
          <a:endParaRPr lang="cs-CZ"/>
        </a:p>
      </dgm:t>
    </dgm:pt>
    <dgm:pt modelId="{61A819D8-DFD5-4D43-B588-26A3AFEA865E}" type="sibTrans" cxnId="{02384BD1-2A3F-44E5-9FF3-97ACB861EE39}">
      <dgm:prSet/>
      <dgm:spPr/>
      <dgm:t>
        <a:bodyPr/>
        <a:lstStyle/>
        <a:p>
          <a:endParaRPr lang="cs-CZ"/>
        </a:p>
      </dgm:t>
    </dgm:pt>
    <dgm:pt modelId="{855C9CEB-4283-41AC-9EA4-CADDD26DBF72}">
      <dgm:prSet custT="1"/>
      <dgm:spPr/>
      <dgm:t>
        <a:bodyPr/>
        <a:lstStyle/>
        <a:p>
          <a:r>
            <a:rPr lang="cs-CZ" sz="900"/>
            <a:t>Archivace dokumentace</a:t>
          </a:r>
        </a:p>
      </dgm:t>
    </dgm:pt>
    <dgm:pt modelId="{BB17F077-545A-4EF4-A8D4-591B8C6CC896}" type="parTrans" cxnId="{F585BCE0-F7F1-4F5E-81CC-AD022D2C6CE4}">
      <dgm:prSet/>
      <dgm:spPr/>
      <dgm:t>
        <a:bodyPr/>
        <a:lstStyle/>
        <a:p>
          <a:endParaRPr lang="cs-CZ"/>
        </a:p>
      </dgm:t>
    </dgm:pt>
    <dgm:pt modelId="{D6EA6C4B-0DA4-4820-8EB5-9CEFA4934CB4}" type="sibTrans" cxnId="{F585BCE0-F7F1-4F5E-81CC-AD022D2C6CE4}">
      <dgm:prSet/>
      <dgm:spPr/>
      <dgm:t>
        <a:bodyPr/>
        <a:lstStyle/>
        <a:p>
          <a:endParaRPr lang="cs-CZ"/>
        </a:p>
      </dgm:t>
    </dgm:pt>
    <dgm:pt modelId="{84E96493-03C4-4876-9E66-436B70C9D572}" type="pres">
      <dgm:prSet presAssocID="{50004031-AFBC-454E-AD6F-3F8F8114A768}" presName="CompostProcess" presStyleCnt="0">
        <dgm:presLayoutVars>
          <dgm:dir/>
          <dgm:resizeHandles val="exact"/>
        </dgm:presLayoutVars>
      </dgm:prSet>
      <dgm:spPr/>
    </dgm:pt>
    <dgm:pt modelId="{6E893B1C-1DCA-4B9E-8193-ABF56748B674}" type="pres">
      <dgm:prSet presAssocID="{50004031-AFBC-454E-AD6F-3F8F8114A768}" presName="arrow" presStyleLbl="bgShp" presStyleIdx="0" presStyleCnt="1"/>
      <dgm:spPr/>
    </dgm:pt>
    <dgm:pt modelId="{B03079FB-F7E1-4B35-895F-57A8BB2BB13C}" type="pres">
      <dgm:prSet presAssocID="{50004031-AFBC-454E-AD6F-3F8F8114A768}" presName="linearProcess" presStyleCnt="0"/>
      <dgm:spPr/>
    </dgm:pt>
    <dgm:pt modelId="{2B6B9B13-23BB-438C-B8C7-94A15A88F14C}" type="pres">
      <dgm:prSet presAssocID="{1E830E55-B7DE-49C1-AFCF-56FE389A1D48}" presName="textNode" presStyleLbl="node1" presStyleIdx="0" presStyleCnt="4">
        <dgm:presLayoutVars>
          <dgm:bulletEnabled val="1"/>
        </dgm:presLayoutVars>
      </dgm:prSet>
      <dgm:spPr/>
    </dgm:pt>
    <dgm:pt modelId="{F4CD9EF4-A5BE-4A56-B7C7-4CB0E6134793}" type="pres">
      <dgm:prSet presAssocID="{6FE34639-C7CF-4CC3-B607-A97CB9D8C3FD}" presName="sibTrans" presStyleCnt="0"/>
      <dgm:spPr/>
    </dgm:pt>
    <dgm:pt modelId="{3599C3BD-7BF1-4475-8AC1-DFB352014834}" type="pres">
      <dgm:prSet presAssocID="{B5626C3D-470A-43E6-B565-EAFA68A627A6}" presName="textNode" presStyleLbl="node1" presStyleIdx="1" presStyleCnt="4">
        <dgm:presLayoutVars>
          <dgm:bulletEnabled val="1"/>
        </dgm:presLayoutVars>
      </dgm:prSet>
      <dgm:spPr/>
    </dgm:pt>
    <dgm:pt modelId="{48074DD6-491B-44BE-95BF-F093F596BFA6}" type="pres">
      <dgm:prSet presAssocID="{68962D39-9229-4EF7-B92C-9086FAAAA8D1}" presName="sibTrans" presStyleCnt="0"/>
      <dgm:spPr/>
    </dgm:pt>
    <dgm:pt modelId="{FE85F6DD-7B44-4F4C-ADCC-58BDB8AD7324}" type="pres">
      <dgm:prSet presAssocID="{8ED313AB-D3A5-43FD-8457-1689CC7E50B5}" presName="textNode" presStyleLbl="node1" presStyleIdx="2" presStyleCnt="4" custScaleY="113133">
        <dgm:presLayoutVars>
          <dgm:bulletEnabled val="1"/>
        </dgm:presLayoutVars>
      </dgm:prSet>
      <dgm:spPr/>
    </dgm:pt>
    <dgm:pt modelId="{23D8E9C8-576B-4ECC-A28D-765C184B1510}" type="pres">
      <dgm:prSet presAssocID="{8D961B12-E089-4471-96F7-73E90FBEBB1A}" presName="sibTrans" presStyleCnt="0"/>
      <dgm:spPr/>
    </dgm:pt>
    <dgm:pt modelId="{2E7FC2FE-44E8-4D7E-B17C-89442DB78EF0}" type="pres">
      <dgm:prSet presAssocID="{FA7D1E81-FCB2-4709-ADDF-A50DCDB85C69}" presName="textNode" presStyleLbl="node1" presStyleIdx="3" presStyleCnt="4">
        <dgm:presLayoutVars>
          <dgm:bulletEnabled val="1"/>
        </dgm:presLayoutVars>
      </dgm:prSet>
      <dgm:spPr/>
    </dgm:pt>
  </dgm:ptLst>
  <dgm:cxnLst>
    <dgm:cxn modelId="{B5212003-B264-4550-A6EB-6631E79F3138}" srcId="{50004031-AFBC-454E-AD6F-3F8F8114A768}" destId="{1E830E55-B7DE-49C1-AFCF-56FE389A1D48}" srcOrd="0" destOrd="0" parTransId="{5576734F-DE5C-4993-8057-46753C2EB327}" sibTransId="{6FE34639-C7CF-4CC3-B607-A97CB9D8C3FD}"/>
    <dgm:cxn modelId="{F6ED3112-013E-499C-9127-211C2AC90129}" type="presOf" srcId="{B5626C3D-470A-43E6-B565-EAFA68A627A6}" destId="{3599C3BD-7BF1-4475-8AC1-DFB352014834}" srcOrd="0" destOrd="0" presId="urn:microsoft.com/office/officeart/2005/8/layout/hProcess9"/>
    <dgm:cxn modelId="{4397E61E-2EB1-46B6-99C2-0DC310DA63C0}" srcId="{B5626C3D-470A-43E6-B565-EAFA68A627A6}" destId="{18687926-09E9-427E-A06A-87630132E85F}" srcOrd="0" destOrd="0" parTransId="{829FDC0A-51FF-43DA-A7CC-C03DF9B1CDC9}" sibTransId="{A153E0D9-9677-49CD-B2D6-D82828199D34}"/>
    <dgm:cxn modelId="{6652B627-7C11-432E-9E36-ACC1AC31C635}" srcId="{1E830E55-B7DE-49C1-AFCF-56FE389A1D48}" destId="{3C1D1878-DAB7-44F3-995D-4826A3FD807B}" srcOrd="2" destOrd="0" parTransId="{89A74C45-A6A7-4A02-9787-978FE9A3F142}" sibTransId="{E61035FB-2081-4AD6-92CC-E62E1ABEF5CC}"/>
    <dgm:cxn modelId="{68D8842B-A258-407B-9C1F-786EDC734406}" type="presOf" srcId="{8ED313AB-D3A5-43FD-8457-1689CC7E50B5}" destId="{FE85F6DD-7B44-4F4C-ADCC-58BDB8AD7324}" srcOrd="0" destOrd="0" presId="urn:microsoft.com/office/officeart/2005/8/layout/hProcess9"/>
    <dgm:cxn modelId="{9E149830-155E-4C4E-B297-E78C6F231D3C}" srcId="{50004031-AFBC-454E-AD6F-3F8F8114A768}" destId="{B5626C3D-470A-43E6-B565-EAFA68A627A6}" srcOrd="1" destOrd="0" parTransId="{920E8F39-2805-440C-885E-9C58C6DF295F}" sibTransId="{68962D39-9229-4EF7-B92C-9086FAAAA8D1}"/>
    <dgm:cxn modelId="{5F8DB332-B2CF-492C-B0A9-C4E23A570598}" type="presOf" srcId="{855C9CEB-4283-41AC-9EA4-CADDD26DBF72}" destId="{2E7FC2FE-44E8-4D7E-B17C-89442DB78EF0}" srcOrd="0" destOrd="3" presId="urn:microsoft.com/office/officeart/2005/8/layout/hProcess9"/>
    <dgm:cxn modelId="{173DD036-7290-4B12-8D03-D5EA9967DD46}" srcId="{50004031-AFBC-454E-AD6F-3F8F8114A768}" destId="{FA7D1E81-FCB2-4709-ADDF-A50DCDB85C69}" srcOrd="3" destOrd="0" parTransId="{D809F0CE-9643-44BC-B94B-045F72004905}" sibTransId="{303475DC-50E6-405E-81C9-ED71F8B1F11B}"/>
    <dgm:cxn modelId="{4FA8794C-D9F5-4AC3-A8A9-09C1DF012EC4}" type="presOf" srcId="{562E5053-D5B4-4C34-B01D-DDA357D241FA}" destId="{3599C3BD-7BF1-4475-8AC1-DFB352014834}" srcOrd="0" destOrd="2" presId="urn:microsoft.com/office/officeart/2005/8/layout/hProcess9"/>
    <dgm:cxn modelId="{731E6E53-38F4-49ED-83AC-E5B707E34B1A}" type="presOf" srcId="{18687926-09E9-427E-A06A-87630132E85F}" destId="{3599C3BD-7BF1-4475-8AC1-DFB352014834}" srcOrd="0" destOrd="1" presId="urn:microsoft.com/office/officeart/2005/8/layout/hProcess9"/>
    <dgm:cxn modelId="{928E7D79-85FE-45A2-AF0F-36F124C2B7A7}" type="presOf" srcId="{1E830E55-B7DE-49C1-AFCF-56FE389A1D48}" destId="{2B6B9B13-23BB-438C-B8C7-94A15A88F14C}" srcOrd="0" destOrd="0" presId="urn:microsoft.com/office/officeart/2005/8/layout/hProcess9"/>
    <dgm:cxn modelId="{1F842B7B-9FE0-4979-8953-3E491400E4F6}" type="presOf" srcId="{25588E1F-330C-49FF-9CA5-1DE253853AF7}" destId="{2B6B9B13-23BB-438C-B8C7-94A15A88F14C}" srcOrd="0" destOrd="2" presId="urn:microsoft.com/office/officeart/2005/8/layout/hProcess9"/>
    <dgm:cxn modelId="{33357287-7DD6-4FA5-93EC-CDD658CDD829}" srcId="{FA7D1E81-FCB2-4709-ADDF-A50DCDB85C69}" destId="{80B22BC2-7566-4FBE-AF9B-37720595CB48}" srcOrd="0" destOrd="0" parTransId="{F494682D-95ED-40E0-8662-5AB349533501}" sibTransId="{770F80C3-A482-4131-91A7-ACF52BE0DBE3}"/>
    <dgm:cxn modelId="{FA49BA89-8B1E-47AD-980A-4136ED788F24}" type="presOf" srcId="{B3A34648-FAED-4106-8C92-735F31EB2D67}" destId="{FE85F6DD-7B44-4F4C-ADCC-58BDB8AD7324}" srcOrd="0" destOrd="2" presId="urn:microsoft.com/office/officeart/2005/8/layout/hProcess9"/>
    <dgm:cxn modelId="{F7E1418D-EE57-45C5-B4A1-BA4C237922C4}" srcId="{8ED313AB-D3A5-43FD-8457-1689CC7E50B5}" destId="{B3A34648-FAED-4106-8C92-735F31EB2D67}" srcOrd="1" destOrd="0" parTransId="{7FBF761F-AAE8-4E83-81A5-C699B6FD2A3F}" sibTransId="{7CBA33BD-ED1A-4DBF-AC55-F31F9F611C65}"/>
    <dgm:cxn modelId="{42174390-9E7D-4D1D-8E7D-D39F935F49D9}" type="presOf" srcId="{0165E8F7-3F99-4287-9304-36D296C01434}" destId="{2B6B9B13-23BB-438C-B8C7-94A15A88F14C}" srcOrd="0" destOrd="1" presId="urn:microsoft.com/office/officeart/2005/8/layout/hProcess9"/>
    <dgm:cxn modelId="{8F8E019E-F997-474D-A727-93BA760DC086}" srcId="{8ED313AB-D3A5-43FD-8457-1689CC7E50B5}" destId="{625CDA99-0024-4525-9BBA-28E513134B1D}" srcOrd="0" destOrd="0" parTransId="{CB975979-0656-4864-B140-061DD52F0233}" sibTransId="{9C827818-9CC2-433D-B9CD-677D4E30B2DA}"/>
    <dgm:cxn modelId="{0BB366AC-A95F-4064-83E8-227AB32A8478}" type="presOf" srcId="{FA7D1E81-FCB2-4709-ADDF-A50DCDB85C69}" destId="{2E7FC2FE-44E8-4D7E-B17C-89442DB78EF0}" srcOrd="0" destOrd="0" presId="urn:microsoft.com/office/officeart/2005/8/layout/hProcess9"/>
    <dgm:cxn modelId="{B88DA4AD-CE4A-458E-8AB2-11F4D127B7E3}" type="presOf" srcId="{80B22BC2-7566-4FBE-AF9B-37720595CB48}" destId="{2E7FC2FE-44E8-4D7E-B17C-89442DB78EF0}" srcOrd="0" destOrd="1" presId="urn:microsoft.com/office/officeart/2005/8/layout/hProcess9"/>
    <dgm:cxn modelId="{4AA7C9AD-A320-4ADE-843E-36F4B3170CF5}" srcId="{50004031-AFBC-454E-AD6F-3F8F8114A768}" destId="{8ED313AB-D3A5-43FD-8457-1689CC7E50B5}" srcOrd="2" destOrd="0" parTransId="{F9419DC6-4145-42D7-A0EE-F85539153EE3}" sibTransId="{8D961B12-E089-4471-96F7-73E90FBEBB1A}"/>
    <dgm:cxn modelId="{4ADF0CB0-F827-4562-9991-C30D16EE9C85}" srcId="{1E830E55-B7DE-49C1-AFCF-56FE389A1D48}" destId="{25588E1F-330C-49FF-9CA5-1DE253853AF7}" srcOrd="1" destOrd="0" parTransId="{6EA22F4D-BC57-4A31-B758-9640DD1EFF30}" sibTransId="{905D64B6-1186-4953-A088-4B9BEECCDF64}"/>
    <dgm:cxn modelId="{AF68A7CC-A510-4B82-999E-CFCC829205D4}" type="presOf" srcId="{625CDA99-0024-4525-9BBA-28E513134B1D}" destId="{FE85F6DD-7B44-4F4C-ADCC-58BDB8AD7324}" srcOrd="0" destOrd="1" presId="urn:microsoft.com/office/officeart/2005/8/layout/hProcess9"/>
    <dgm:cxn modelId="{02384BD1-2A3F-44E5-9FF3-97ACB861EE39}" srcId="{FA7D1E81-FCB2-4709-ADDF-A50DCDB85C69}" destId="{F26D77C0-E54D-42B6-AFAF-702D81868D7B}" srcOrd="1" destOrd="0" parTransId="{F464DF90-BB59-4374-91B3-06C7CE67F7D2}" sibTransId="{61A819D8-DFD5-4D43-B588-26A3AFEA865E}"/>
    <dgm:cxn modelId="{02F73DD5-10FE-42CC-B993-04463368F63B}" type="presOf" srcId="{50004031-AFBC-454E-AD6F-3F8F8114A768}" destId="{84E96493-03C4-4876-9E66-436B70C9D572}" srcOrd="0" destOrd="0" presId="urn:microsoft.com/office/officeart/2005/8/layout/hProcess9"/>
    <dgm:cxn modelId="{762A13D7-2465-48DB-B9C4-C5BC8837A173}" type="presOf" srcId="{3C1D1878-DAB7-44F3-995D-4826A3FD807B}" destId="{2B6B9B13-23BB-438C-B8C7-94A15A88F14C}" srcOrd="0" destOrd="3" presId="urn:microsoft.com/office/officeart/2005/8/layout/hProcess9"/>
    <dgm:cxn modelId="{7922EFDC-C84A-4E37-A021-9753CFC277CA}" srcId="{1E830E55-B7DE-49C1-AFCF-56FE389A1D48}" destId="{0165E8F7-3F99-4287-9304-36D296C01434}" srcOrd="0" destOrd="0" parTransId="{A4EB3B3F-DE45-4135-9E73-D5D6EAE640EB}" sibTransId="{4CD7B225-234C-4862-A946-789F1F240E9A}"/>
    <dgm:cxn modelId="{F585BCE0-F7F1-4F5E-81CC-AD022D2C6CE4}" srcId="{FA7D1E81-FCB2-4709-ADDF-A50DCDB85C69}" destId="{855C9CEB-4283-41AC-9EA4-CADDD26DBF72}" srcOrd="2" destOrd="0" parTransId="{BB17F077-545A-4EF4-A8D4-591B8C6CC896}" sibTransId="{D6EA6C4B-0DA4-4820-8EB5-9CEFA4934CB4}"/>
    <dgm:cxn modelId="{6AD341EF-B292-4CCB-B780-2A1CCEFB2EE6}" srcId="{B5626C3D-470A-43E6-B565-EAFA68A627A6}" destId="{562E5053-D5B4-4C34-B01D-DDA357D241FA}" srcOrd="1" destOrd="0" parTransId="{FC019212-47C3-4AB1-8353-B0424785068A}" sibTransId="{158415FF-F143-4A1B-BDBC-04D4693E6DFA}"/>
    <dgm:cxn modelId="{6ADEC9F5-B679-4128-A54A-ABCC83804212}" type="presOf" srcId="{F26D77C0-E54D-42B6-AFAF-702D81868D7B}" destId="{2E7FC2FE-44E8-4D7E-B17C-89442DB78EF0}" srcOrd="0" destOrd="2" presId="urn:microsoft.com/office/officeart/2005/8/layout/hProcess9"/>
    <dgm:cxn modelId="{BFF95812-332A-44F8-A983-5FAEAAEACF48}" type="presParOf" srcId="{84E96493-03C4-4876-9E66-436B70C9D572}" destId="{6E893B1C-1DCA-4B9E-8193-ABF56748B674}" srcOrd="0" destOrd="0" presId="urn:microsoft.com/office/officeart/2005/8/layout/hProcess9"/>
    <dgm:cxn modelId="{DA95D939-490F-43C3-AFE8-96442263F567}" type="presParOf" srcId="{84E96493-03C4-4876-9E66-436B70C9D572}" destId="{B03079FB-F7E1-4B35-895F-57A8BB2BB13C}" srcOrd="1" destOrd="0" presId="urn:microsoft.com/office/officeart/2005/8/layout/hProcess9"/>
    <dgm:cxn modelId="{37DD175A-DB84-4B57-BCC1-BC21D774DB6D}" type="presParOf" srcId="{B03079FB-F7E1-4B35-895F-57A8BB2BB13C}" destId="{2B6B9B13-23BB-438C-B8C7-94A15A88F14C}" srcOrd="0" destOrd="0" presId="urn:microsoft.com/office/officeart/2005/8/layout/hProcess9"/>
    <dgm:cxn modelId="{6E64DE35-2496-45FD-8402-73A0D2A91D42}" type="presParOf" srcId="{B03079FB-F7E1-4B35-895F-57A8BB2BB13C}" destId="{F4CD9EF4-A5BE-4A56-B7C7-4CB0E6134793}" srcOrd="1" destOrd="0" presId="urn:microsoft.com/office/officeart/2005/8/layout/hProcess9"/>
    <dgm:cxn modelId="{8D8B51A7-0333-4D65-9B01-BBD3884B4CF2}" type="presParOf" srcId="{B03079FB-F7E1-4B35-895F-57A8BB2BB13C}" destId="{3599C3BD-7BF1-4475-8AC1-DFB352014834}" srcOrd="2" destOrd="0" presId="urn:microsoft.com/office/officeart/2005/8/layout/hProcess9"/>
    <dgm:cxn modelId="{7FA1CCAC-BAEE-4BF0-982A-CEF4EACC8551}" type="presParOf" srcId="{B03079FB-F7E1-4B35-895F-57A8BB2BB13C}" destId="{48074DD6-491B-44BE-95BF-F093F596BFA6}" srcOrd="3" destOrd="0" presId="urn:microsoft.com/office/officeart/2005/8/layout/hProcess9"/>
    <dgm:cxn modelId="{52260BF7-8D24-4424-BDB3-98402CEDB540}" type="presParOf" srcId="{B03079FB-F7E1-4B35-895F-57A8BB2BB13C}" destId="{FE85F6DD-7B44-4F4C-ADCC-58BDB8AD7324}" srcOrd="4" destOrd="0" presId="urn:microsoft.com/office/officeart/2005/8/layout/hProcess9"/>
    <dgm:cxn modelId="{1575F6F7-1C95-4EB1-B1E7-4EA340C036F0}" type="presParOf" srcId="{B03079FB-F7E1-4B35-895F-57A8BB2BB13C}" destId="{23D8E9C8-576B-4ECC-A28D-765C184B1510}" srcOrd="5" destOrd="0" presId="urn:microsoft.com/office/officeart/2005/8/layout/hProcess9"/>
    <dgm:cxn modelId="{2913A93F-F4C3-4E5B-80C6-FCFD0C9A997C}" type="presParOf" srcId="{B03079FB-F7E1-4B35-895F-57A8BB2BB13C}" destId="{2E7FC2FE-44E8-4D7E-B17C-89442DB78EF0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893B1C-1DCA-4B9E-8193-ABF56748B674}">
      <dsp:nvSpPr>
        <dsp:cNvPr id="0" name=""/>
        <dsp:cNvSpPr/>
      </dsp:nvSpPr>
      <dsp:spPr>
        <a:xfrm>
          <a:off x="482441" y="0"/>
          <a:ext cx="5467667" cy="36576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B6B9B13-23BB-438C-B8C7-94A15A88F14C}">
      <dsp:nvSpPr>
        <dsp:cNvPr id="0" name=""/>
        <dsp:cNvSpPr/>
      </dsp:nvSpPr>
      <dsp:spPr>
        <a:xfrm>
          <a:off x="2198" y="1097279"/>
          <a:ext cx="1428478" cy="1463040"/>
        </a:xfrm>
        <a:prstGeom prst="round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/>
            <a:t>Plánování veřejné zakázky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900" kern="1200"/>
            <a:t>Identifikace potřeb zadavatele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900" kern="1200"/>
            <a:t>Zajištění finančního krytí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cs-CZ" sz="900" kern="1200"/>
        </a:p>
      </dsp:txBody>
      <dsp:txXfrm>
        <a:off x="71931" y="1167012"/>
        <a:ext cx="1289012" cy="1323574"/>
      </dsp:txXfrm>
    </dsp:sp>
    <dsp:sp modelId="{3599C3BD-7BF1-4475-8AC1-DFB352014834}">
      <dsp:nvSpPr>
        <dsp:cNvPr id="0" name=""/>
        <dsp:cNvSpPr/>
      </dsp:nvSpPr>
      <dsp:spPr>
        <a:xfrm>
          <a:off x="1668756" y="1097279"/>
          <a:ext cx="1428478" cy="1463040"/>
        </a:xfrm>
        <a:prstGeom prst="round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Specifikace zadávacích podmínek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900" kern="1200"/>
            <a:t>Zpracování podkladů pro schválení veřejné zakázky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900" kern="1200"/>
            <a:t>Zahájení veřejné zakázky</a:t>
          </a:r>
        </a:p>
      </dsp:txBody>
      <dsp:txXfrm>
        <a:off x="1738489" y="1167012"/>
        <a:ext cx="1289012" cy="1323574"/>
      </dsp:txXfrm>
    </dsp:sp>
    <dsp:sp modelId="{FE85F6DD-7B44-4F4C-ADCC-58BDB8AD7324}">
      <dsp:nvSpPr>
        <dsp:cNvPr id="0" name=""/>
        <dsp:cNvSpPr/>
      </dsp:nvSpPr>
      <dsp:spPr>
        <a:xfrm>
          <a:off x="3335314" y="1001209"/>
          <a:ext cx="1428478" cy="1655181"/>
        </a:xfrm>
        <a:prstGeom prst="round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Realizace zadávacího řízení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900" kern="1200"/>
            <a:t>Procesy dle zákona č. 134/2016 Sb. o zadávání veřejných zakázek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900" kern="1200"/>
            <a:t>Zadávání a kontrola zadání zakázky dle zákona č. 134/2016sb. o zadávání veřejných zakázek</a:t>
          </a:r>
        </a:p>
      </dsp:txBody>
      <dsp:txXfrm>
        <a:off x="3405047" y="1070942"/>
        <a:ext cx="1289012" cy="1515715"/>
      </dsp:txXfrm>
    </dsp:sp>
    <dsp:sp modelId="{2E7FC2FE-44E8-4D7E-B17C-89442DB78EF0}">
      <dsp:nvSpPr>
        <dsp:cNvPr id="0" name=""/>
        <dsp:cNvSpPr/>
      </dsp:nvSpPr>
      <dsp:spPr>
        <a:xfrm>
          <a:off x="5001872" y="1097279"/>
          <a:ext cx="1428478" cy="1463040"/>
        </a:xfrm>
        <a:prstGeom prst="round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Realizace předmětu VZ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900" kern="1200"/>
            <a:t>Kontrola plnění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900" kern="1200"/>
            <a:t>Fakturace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900" kern="1200"/>
            <a:t>Archivace dokumentace</a:t>
          </a:r>
        </a:p>
      </dsp:txBody>
      <dsp:txXfrm>
        <a:off x="5071605" y="1167012"/>
        <a:ext cx="1289012" cy="13235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214C3-2136-9745-A30E-F570D07F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24</Pages>
  <Words>4882</Words>
  <Characters>30953</Characters>
  <Application>Microsoft Office Word</Application>
  <DocSecurity>0</DocSecurity>
  <Lines>836</Lines>
  <Paragraphs>465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Aktualizace akčního plánu plnění Strategie elektronizace zadávání veřejných zakázek 2016-2020</vt:lpstr>
      <vt:lpstr>Aktualizace akčního plánu plnění Strategie elektronizace zadávání veřejných zakázek 2016-2020</vt:lpstr>
    </vt:vector>
  </TitlesOfParts>
  <Manager/>
  <Company/>
  <LinksUpToDate>false</LinksUpToDate>
  <CharactersWithSpaces>35370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Aktualizace akčního plánu plnění Strategie elektronizace zadávání veřejných zakázek 2016-2020</dc:title>
  <dc:creator/>
  <cp:lastModifiedBy/>
  <cp:revision>14</cp:revision>
  <cp:lastPrinted>2018-10-24T09:44:00Z</cp:lastPrinted>
  <dcterms:created xsi:type="dcterms:W3CDTF">2018-11-15T13:20:00Z</dcterms:created>
  <dcterms:modified xsi:type="dcterms:W3CDTF">2018-12-11T13:04:00Z</dcterms:modified>
</cp:coreProperties>
</file>